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A8" w:rsidRPr="00B266A8" w:rsidRDefault="00B266A8" w:rsidP="00B266A8">
      <w:pPr>
        <w:spacing w:after="15" w:line="240" w:lineRule="auto"/>
        <w:ind w:left="1426" w:right="71" w:hanging="1426"/>
        <w:jc w:val="center"/>
        <w:rPr>
          <w:rFonts w:ascii="Times New Roman" w:eastAsia="Times New Roman" w:hAnsi="Times New Roman" w:cs="Times New Roman"/>
          <w:caps/>
          <w:color w:val="000000"/>
          <w:sz w:val="28"/>
          <w:szCs w:val="28"/>
          <w:lang w:eastAsia="en-GB"/>
        </w:rPr>
      </w:pPr>
      <w:bookmarkStart w:id="0" w:name="_Toc389252450"/>
      <w:bookmarkStart w:id="1" w:name="_Toc389292535"/>
      <w:bookmarkStart w:id="2" w:name="_Toc389772684"/>
      <w:r w:rsidRPr="00B266A8">
        <w:rPr>
          <w:rFonts w:ascii="Times New Roman" w:eastAsia="Times New Roman" w:hAnsi="Times New Roman" w:cs="Times New Roman"/>
          <w:caps/>
          <w:color w:val="000000"/>
          <w:sz w:val="28"/>
          <w:szCs w:val="28"/>
          <w:lang w:eastAsia="en-GB"/>
        </w:rPr>
        <w:t>Міністерствo освіти і науки України</w:t>
      </w:r>
    </w:p>
    <w:p w:rsidR="00B266A8" w:rsidRPr="00B266A8" w:rsidRDefault="00B266A8" w:rsidP="00B266A8">
      <w:pPr>
        <w:spacing w:after="15" w:line="240" w:lineRule="auto"/>
        <w:ind w:left="1426" w:right="7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НАЦІОНАЛЬНИЙ ТЕХНІЧНИЙ УНІВЕРСИТЕТ УКРАЇНИ </w:t>
      </w:r>
    </w:p>
    <w:p w:rsidR="00B266A8" w:rsidRPr="00B266A8" w:rsidRDefault="00B266A8" w:rsidP="00B266A8">
      <w:pPr>
        <w:spacing w:after="15" w:line="240" w:lineRule="auto"/>
        <w:ind w:left="2180" w:right="7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«КИЇВСЬКИЙ ПОЛІТЕХНІЧНИЙ ІНСТИТУТ»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E1B17" w:rsidRDefault="00BE1B17" w:rsidP="00B266A8">
      <w:pPr>
        <w:widowControl w:val="0"/>
        <w:spacing w:before="240" w:after="0" w:line="360" w:lineRule="auto"/>
        <w:jc w:val="center"/>
        <w:rPr>
          <w:rFonts w:ascii="Times New Roman" w:hAnsi="Times New Roman"/>
          <w:b/>
          <w:sz w:val="28"/>
          <w:lang w:eastAsia="ru-RU"/>
        </w:rPr>
      </w:pPr>
      <w:proofErr w:type="spellStart"/>
      <w:r>
        <w:rPr>
          <w:rFonts w:ascii="Times New Roman" w:hAnsi="Times New Roman"/>
          <w:b/>
          <w:sz w:val="28"/>
          <w:lang w:val="ru-RU" w:eastAsia="ru-RU"/>
        </w:rPr>
        <w:t>Близнюк</w:t>
      </w:r>
      <w:proofErr w:type="spellEnd"/>
      <w:r>
        <w:rPr>
          <w:rFonts w:ascii="Times New Roman" w:hAnsi="Times New Roman"/>
          <w:b/>
          <w:sz w:val="28"/>
          <w:lang w:val="ru-RU" w:eastAsia="ru-RU"/>
        </w:rPr>
        <w:t xml:space="preserve"> </w:t>
      </w:r>
      <w:r>
        <w:rPr>
          <w:rFonts w:ascii="Times New Roman" w:hAnsi="Times New Roman"/>
          <w:b/>
          <w:sz w:val="28"/>
          <w:lang w:eastAsia="ru-RU"/>
        </w:rPr>
        <w:t>Євген Володимирович</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22"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E1B17" w:rsidRPr="00BE1B17" w:rsidRDefault="00BE1B17" w:rsidP="00BE1B17">
      <w:pPr>
        <w:spacing w:after="0" w:line="240" w:lineRule="auto"/>
        <w:jc w:val="right"/>
        <w:rPr>
          <w:rFonts w:ascii="Times New Roman" w:eastAsia="Times New Roman" w:hAnsi="Times New Roman" w:cs="Times New Roman"/>
          <w:sz w:val="28"/>
          <w:szCs w:val="28"/>
          <w:lang w:val="ru-RU" w:eastAsia="en-GB"/>
        </w:rPr>
      </w:pPr>
      <w:r w:rsidRPr="00BE1B17">
        <w:rPr>
          <w:rFonts w:ascii="Times New Roman" w:eastAsia="Times New Roman" w:hAnsi="Times New Roman" w:cs="Times New Roman"/>
          <w:sz w:val="28"/>
          <w:szCs w:val="28"/>
          <w:lang w:val="ru-RU" w:eastAsia="en-GB"/>
        </w:rPr>
        <w:t>УДК 620.93+621.352</w:t>
      </w:r>
    </w:p>
    <w:p w:rsidR="00B266A8" w:rsidRPr="00B266A8" w:rsidRDefault="00B266A8" w:rsidP="00B266A8">
      <w:pPr>
        <w:spacing w:after="0" w:line="240" w:lineRule="auto"/>
        <w:jc w:val="right"/>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jc w:val="right"/>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37" w:line="240" w:lineRule="auto"/>
        <w:jc w:val="right"/>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E1B17" w:rsidRDefault="00BE1B17" w:rsidP="00B266A8">
      <w:pPr>
        <w:spacing w:after="0" w:line="240" w:lineRule="auto"/>
        <w:ind w:left="581"/>
        <w:jc w:val="center"/>
        <w:rPr>
          <w:rFonts w:ascii="Times New Roman" w:eastAsia="Times New Roman" w:hAnsi="Times New Roman" w:cs="Times New Roman"/>
          <w:color w:val="000000"/>
          <w:sz w:val="28"/>
          <w:szCs w:val="28"/>
          <w:lang w:eastAsia="en-GB"/>
        </w:rPr>
      </w:pPr>
      <w:r w:rsidRPr="00BE1B17">
        <w:rPr>
          <w:rFonts w:ascii="Times New Roman" w:hAnsi="Times New Roman"/>
          <w:b/>
          <w:sz w:val="28"/>
          <w:szCs w:val="28"/>
        </w:rPr>
        <w:t>КОМПЛЕКСНЕ ЕНЕРГОПОСТАЧАННЯ ПІДПРИЄМСТВА  ДЕРЕВООБРОБНОЇ ПРОМИСЛОВОСТІ З ВИКОРИСТАННЯМ ПАЛИВНИХ ЕЛЕМЕНТІВ</w:t>
      </w:r>
      <w:r w:rsidRPr="00BE1B17">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28"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E1B17">
      <w:pPr>
        <w:spacing w:after="15" w:line="240" w:lineRule="auto"/>
        <w:ind w:right="71" w:firstLine="58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Спеціальність </w:t>
      </w:r>
      <w:r w:rsidR="00BE1B17">
        <w:rPr>
          <w:rFonts w:ascii="Times New Roman" w:eastAsia="Times New Roman" w:hAnsi="Times New Roman" w:cs="Times New Roman"/>
          <w:color w:val="000000"/>
          <w:sz w:val="28"/>
          <w:szCs w:val="28"/>
          <w:lang w:val="ru-RU" w:eastAsia="en-GB"/>
        </w:rPr>
        <w:t>8.05070103</w:t>
      </w:r>
      <w:r w:rsidRPr="00B266A8">
        <w:rPr>
          <w:rFonts w:ascii="Times New Roman" w:eastAsia="Times New Roman" w:hAnsi="Times New Roman" w:cs="Times New Roman"/>
          <w:color w:val="000000"/>
          <w:sz w:val="28"/>
          <w:szCs w:val="28"/>
          <w:lang w:eastAsia="en-GB"/>
        </w:rPr>
        <w:t xml:space="preserve"> – </w:t>
      </w:r>
      <w:r w:rsidR="00BE1B17" w:rsidRPr="00BE1B17">
        <w:rPr>
          <w:rFonts w:ascii="Times New Roman" w:eastAsia="Times New Roman" w:hAnsi="Times New Roman" w:cs="Times New Roman"/>
          <w:color w:val="000000"/>
          <w:sz w:val="28"/>
          <w:szCs w:val="28"/>
          <w:lang w:eastAsia="en-GB"/>
        </w:rPr>
        <w:t xml:space="preserve">Електротехнічні системи </w:t>
      </w:r>
      <w:proofErr w:type="spellStart"/>
      <w:r w:rsidR="00BE1B17" w:rsidRPr="00BE1B17">
        <w:rPr>
          <w:rFonts w:ascii="Times New Roman" w:eastAsia="Times New Roman" w:hAnsi="Times New Roman" w:cs="Times New Roman"/>
          <w:color w:val="000000"/>
          <w:sz w:val="28"/>
          <w:szCs w:val="28"/>
          <w:lang w:eastAsia="en-GB"/>
        </w:rPr>
        <w:t>електроспоживання</w:t>
      </w:r>
      <w:proofErr w:type="spellEnd"/>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4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Default="00B266A8" w:rsidP="00B266A8">
      <w:pPr>
        <w:spacing w:after="0" w:line="240" w:lineRule="auto"/>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b/>
          <w:color w:val="000000"/>
          <w:sz w:val="28"/>
          <w:szCs w:val="28"/>
          <w:lang w:eastAsia="en-GB"/>
        </w:rPr>
        <w:t>Автореферат</w:t>
      </w:r>
    </w:p>
    <w:p w:rsidR="00B266A8" w:rsidRPr="00B266A8" w:rsidRDefault="00B266A8" w:rsidP="00B266A8">
      <w:pPr>
        <w:spacing w:after="0" w:line="240" w:lineRule="auto"/>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магістерської дисертації</w:t>
      </w:r>
    </w:p>
    <w:p w:rsidR="00B266A8" w:rsidRPr="00B266A8" w:rsidRDefault="00B266A8" w:rsidP="00B266A8">
      <w:pPr>
        <w:spacing w:after="0" w:line="240" w:lineRule="auto"/>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Pr="00B266A8" w:rsidRDefault="00B266A8" w:rsidP="00B266A8">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Default="00B266A8" w:rsidP="008B42F6">
      <w:pPr>
        <w:spacing w:after="0" w:line="240" w:lineRule="auto"/>
        <w:ind w:left="581"/>
        <w:jc w:val="center"/>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B266A8" w:rsidRDefault="00B266A8" w:rsidP="00B266A8">
      <w:pPr>
        <w:spacing w:after="0" w:line="240" w:lineRule="auto"/>
        <w:ind w:left="581"/>
        <w:jc w:val="center"/>
        <w:rPr>
          <w:rFonts w:ascii="Times New Roman" w:eastAsia="Times New Roman" w:hAnsi="Times New Roman" w:cs="Times New Roman"/>
          <w:color w:val="000000"/>
          <w:sz w:val="28"/>
          <w:szCs w:val="28"/>
          <w:lang w:val="ru-RU" w:eastAsia="en-GB"/>
        </w:rPr>
      </w:pPr>
    </w:p>
    <w:p w:rsidR="00BE1B17" w:rsidRPr="00BE1B17" w:rsidRDefault="00BE1B17" w:rsidP="00B266A8">
      <w:pPr>
        <w:spacing w:after="0" w:line="240" w:lineRule="auto"/>
        <w:ind w:left="581"/>
        <w:jc w:val="center"/>
        <w:rPr>
          <w:rFonts w:ascii="Times New Roman" w:eastAsia="Times New Roman" w:hAnsi="Times New Roman" w:cs="Times New Roman"/>
          <w:color w:val="000000"/>
          <w:sz w:val="28"/>
          <w:szCs w:val="28"/>
          <w:lang w:val="ru-RU" w:eastAsia="en-GB"/>
        </w:rPr>
      </w:pPr>
    </w:p>
    <w:p w:rsidR="00B266A8" w:rsidRDefault="00391CCC" w:rsidP="00B266A8">
      <w:pPr>
        <w:spacing w:after="20" w:line="240" w:lineRule="auto"/>
        <w:ind w:left="581" w:hanging="581"/>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Київ – </w:t>
      </w:r>
      <w:r w:rsidR="00B266A8" w:rsidRPr="00B266A8">
        <w:rPr>
          <w:rFonts w:ascii="Times New Roman" w:eastAsia="Times New Roman" w:hAnsi="Times New Roman" w:cs="Times New Roman"/>
          <w:color w:val="000000"/>
          <w:sz w:val="28"/>
          <w:szCs w:val="28"/>
          <w:lang w:eastAsia="en-GB"/>
        </w:rPr>
        <w:t>20</w:t>
      </w:r>
      <w:r w:rsidR="00BE1B17">
        <w:rPr>
          <w:rFonts w:ascii="Times New Roman" w:eastAsia="Times New Roman" w:hAnsi="Times New Roman" w:cs="Times New Roman"/>
          <w:color w:val="000000"/>
          <w:sz w:val="28"/>
          <w:szCs w:val="28"/>
          <w:lang w:eastAsia="en-GB"/>
        </w:rPr>
        <w:t>16</w:t>
      </w:r>
    </w:p>
    <w:p w:rsidR="00B266A8" w:rsidRPr="00B266A8" w:rsidRDefault="00B266A8" w:rsidP="00B266A8">
      <w:pPr>
        <w:spacing w:after="15" w:line="240" w:lineRule="auto"/>
        <w:ind w:left="586" w:right="7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lastRenderedPageBreak/>
        <w:t xml:space="preserve">Дисертацією є рукопис. </w:t>
      </w:r>
    </w:p>
    <w:p w:rsidR="00B266A8" w:rsidRPr="00B266A8" w:rsidRDefault="00B266A8" w:rsidP="00B266A8">
      <w:pPr>
        <w:spacing w:after="37" w:line="240" w:lineRule="auto"/>
        <w:ind w:left="596" w:hanging="10"/>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Робота виконана на кафедрі електропостачання Національного технічного університету України «Київський політехнічний інститут» Міністерства освіти і науки України. </w:t>
      </w:r>
    </w:p>
    <w:p w:rsidR="00B266A8" w:rsidRPr="00B266A8" w:rsidRDefault="00B266A8" w:rsidP="00B266A8">
      <w:pPr>
        <w:spacing w:after="0" w:line="240" w:lineRule="auto"/>
        <w:ind w:left="586"/>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b/>
          <w:color w:val="000000"/>
          <w:sz w:val="28"/>
          <w:szCs w:val="28"/>
          <w:lang w:eastAsia="en-GB"/>
        </w:rPr>
        <w:t xml:space="preserve"> </w:t>
      </w:r>
    </w:p>
    <w:p w:rsidR="00B266A8" w:rsidRPr="00B266A8" w:rsidRDefault="00B266A8" w:rsidP="00B266A8">
      <w:pPr>
        <w:spacing w:after="15" w:line="240" w:lineRule="auto"/>
        <w:ind w:left="586" w:right="7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b/>
          <w:color w:val="000000"/>
          <w:sz w:val="28"/>
          <w:szCs w:val="28"/>
          <w:lang w:eastAsia="en-GB"/>
        </w:rPr>
        <w:t>Науковий керівник</w:t>
      </w:r>
      <w:r w:rsidRPr="00B266A8">
        <w:rPr>
          <w:rFonts w:ascii="Times New Roman" w:eastAsia="Times New Roman" w:hAnsi="Times New Roman" w:cs="Times New Roman"/>
          <w:color w:val="000000"/>
          <w:sz w:val="28"/>
          <w:szCs w:val="28"/>
          <w:lang w:eastAsia="en-GB"/>
        </w:rPr>
        <w:t xml:space="preserve">: </w:t>
      </w:r>
      <w:proofErr w:type="spellStart"/>
      <w:r w:rsidRPr="00B266A8">
        <w:rPr>
          <w:rFonts w:ascii="Times New Roman" w:eastAsia="Times New Roman" w:hAnsi="Times New Roman" w:cs="Times New Roman"/>
          <w:b/>
          <w:color w:val="000000"/>
          <w:sz w:val="28"/>
          <w:szCs w:val="28"/>
          <w:lang w:eastAsia="en-GB"/>
        </w:rPr>
        <w:t>к.т.н</w:t>
      </w:r>
      <w:proofErr w:type="spellEnd"/>
      <w:r w:rsidRPr="00B266A8">
        <w:rPr>
          <w:rFonts w:ascii="Times New Roman" w:eastAsia="Times New Roman" w:hAnsi="Times New Roman" w:cs="Times New Roman"/>
          <w:b/>
          <w:color w:val="000000"/>
          <w:sz w:val="28"/>
          <w:szCs w:val="28"/>
          <w:lang w:eastAsia="en-GB"/>
        </w:rPr>
        <w:t xml:space="preserve">., </w:t>
      </w:r>
      <w:proofErr w:type="spellStart"/>
      <w:r w:rsidRPr="00B266A8">
        <w:rPr>
          <w:rFonts w:ascii="Times New Roman" w:eastAsia="Times New Roman" w:hAnsi="Times New Roman" w:cs="Times New Roman"/>
          <w:b/>
          <w:color w:val="000000"/>
          <w:sz w:val="28"/>
          <w:szCs w:val="28"/>
          <w:lang w:eastAsia="en-GB"/>
        </w:rPr>
        <w:t>асист</w:t>
      </w:r>
      <w:proofErr w:type="spellEnd"/>
      <w:r w:rsidRPr="00B266A8">
        <w:rPr>
          <w:rFonts w:ascii="Times New Roman" w:eastAsia="Times New Roman" w:hAnsi="Times New Roman" w:cs="Times New Roman"/>
          <w:b/>
          <w:color w:val="000000"/>
          <w:sz w:val="28"/>
          <w:szCs w:val="28"/>
          <w:lang w:eastAsia="en-GB"/>
        </w:rPr>
        <w:t>.</w:t>
      </w:r>
      <w:r>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b/>
          <w:color w:val="000000"/>
          <w:sz w:val="28"/>
          <w:szCs w:val="28"/>
          <w:lang w:eastAsia="en-GB"/>
        </w:rPr>
        <w:t>Костюк Василь Осипович</w:t>
      </w:r>
    </w:p>
    <w:p w:rsidR="00B266A8" w:rsidRPr="00B266A8" w:rsidRDefault="00B266A8" w:rsidP="00B266A8">
      <w:pPr>
        <w:spacing w:after="15" w:line="240" w:lineRule="auto"/>
        <w:ind w:left="3261" w:right="7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Інституту енергозбереження та </w:t>
      </w:r>
      <w:proofErr w:type="spellStart"/>
      <w:r w:rsidRPr="00B266A8">
        <w:rPr>
          <w:rFonts w:ascii="Times New Roman" w:eastAsia="Times New Roman" w:hAnsi="Times New Roman" w:cs="Times New Roman"/>
          <w:color w:val="000000"/>
          <w:sz w:val="28"/>
          <w:szCs w:val="28"/>
          <w:lang w:eastAsia="en-GB"/>
        </w:rPr>
        <w:t>енергоменеджменту</w:t>
      </w:r>
      <w:proofErr w:type="spellEnd"/>
      <w:r w:rsidRPr="00B266A8">
        <w:rPr>
          <w:rFonts w:ascii="Times New Roman" w:eastAsia="Times New Roman" w:hAnsi="Times New Roman" w:cs="Times New Roman"/>
          <w:color w:val="000000"/>
          <w:sz w:val="28"/>
          <w:szCs w:val="28"/>
          <w:lang w:eastAsia="en-GB"/>
        </w:rPr>
        <w:t xml:space="preserve"> Національного технічного університету України </w:t>
      </w:r>
    </w:p>
    <w:p w:rsidR="00B266A8" w:rsidRPr="00B266A8" w:rsidRDefault="00B266A8" w:rsidP="00B266A8">
      <w:pPr>
        <w:spacing w:after="15" w:line="240" w:lineRule="auto"/>
        <w:ind w:left="3140" w:right="71" w:firstLine="12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«Київський політехнічний інститут», м. Київ</w:t>
      </w:r>
    </w:p>
    <w:p w:rsidR="00B266A8" w:rsidRDefault="00B266A8" w:rsidP="00B266A8">
      <w:pPr>
        <w:spacing w:after="28" w:line="240" w:lineRule="auto"/>
        <w:ind w:left="3140"/>
        <w:rPr>
          <w:rFonts w:ascii="Times New Roman" w:eastAsia="Times New Roman" w:hAnsi="Times New Roman" w:cs="Times New Roman"/>
          <w:color w:val="000000"/>
          <w:sz w:val="28"/>
          <w:szCs w:val="28"/>
          <w:lang w:eastAsia="en-GB"/>
        </w:rPr>
      </w:pPr>
    </w:p>
    <w:p w:rsidR="00B266A8" w:rsidRPr="00B266A8" w:rsidRDefault="00B266A8" w:rsidP="00B266A8">
      <w:pPr>
        <w:spacing w:after="28" w:line="240" w:lineRule="auto"/>
        <w:ind w:left="3140"/>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Рецензент: </w:t>
      </w:r>
    </w:p>
    <w:p w:rsidR="00B266A8" w:rsidRPr="00B266A8" w:rsidRDefault="00F14C20" w:rsidP="00B266A8">
      <w:pPr>
        <w:pStyle w:val="a3"/>
        <w:numPr>
          <w:ilvl w:val="0"/>
          <w:numId w:val="13"/>
        </w:numPr>
        <w:pBdr>
          <w:top w:val="single" w:sz="12" w:space="1" w:color="auto"/>
          <w:bottom w:val="single" w:sz="12" w:space="1" w:color="auto"/>
          <w:between w:val="single" w:sz="12" w:space="1" w:color="auto"/>
        </w:pBdr>
        <w:spacing w:after="28"/>
        <w:ind w:left="3140"/>
        <w:jc w:val="both"/>
        <w:rPr>
          <w:color w:val="000000"/>
          <w:sz w:val="28"/>
          <w:szCs w:val="28"/>
          <w:lang w:val="uk-UA" w:eastAsia="en-GB"/>
        </w:rPr>
      </w:pPr>
      <w:r>
        <w:rPr>
          <w:color w:val="000000"/>
          <w:sz w:val="28"/>
          <w:szCs w:val="28"/>
          <w:lang w:val="uk-UA" w:eastAsia="en-GB"/>
        </w:rPr>
        <w:t xml:space="preserve">Старший науковий співробітник </w:t>
      </w:r>
      <w:r w:rsidRPr="00B266A8">
        <w:rPr>
          <w:color w:val="000000"/>
          <w:sz w:val="28"/>
          <w:szCs w:val="28"/>
          <w:lang w:val="uk-UA" w:eastAsia="en-GB"/>
        </w:rPr>
        <w:t xml:space="preserve">«Інституту </w:t>
      </w:r>
      <w:r w:rsidR="00BE1B17">
        <w:rPr>
          <w:color w:val="000000"/>
          <w:sz w:val="28"/>
          <w:szCs w:val="28"/>
          <w:lang w:val="uk-UA" w:eastAsia="en-GB"/>
        </w:rPr>
        <w:t>електродинаміки</w:t>
      </w:r>
      <w:r w:rsidRPr="00B266A8">
        <w:rPr>
          <w:color w:val="000000"/>
          <w:sz w:val="28"/>
          <w:szCs w:val="28"/>
          <w:lang w:val="uk-UA" w:eastAsia="en-GB"/>
        </w:rPr>
        <w:t xml:space="preserve"> НАН України</w:t>
      </w:r>
      <w:r w:rsidR="00BE1B17">
        <w:rPr>
          <w:color w:val="000000"/>
          <w:sz w:val="28"/>
          <w:szCs w:val="28"/>
          <w:lang w:val="uk-UA" w:eastAsia="en-GB"/>
        </w:rPr>
        <w:t xml:space="preserve">» </w:t>
      </w:r>
      <w:proofErr w:type="spellStart"/>
      <w:r w:rsidR="00BE1B17">
        <w:rPr>
          <w:color w:val="000000"/>
          <w:sz w:val="28"/>
          <w:szCs w:val="28"/>
          <w:lang w:val="uk-UA" w:eastAsia="en-GB"/>
        </w:rPr>
        <w:t>докт</w:t>
      </w:r>
      <w:proofErr w:type="spellEnd"/>
      <w:r w:rsidR="00BE1B17">
        <w:rPr>
          <w:color w:val="000000"/>
          <w:sz w:val="28"/>
          <w:szCs w:val="28"/>
          <w:lang w:val="uk-UA" w:eastAsia="en-GB"/>
        </w:rPr>
        <w:t>. техн.</w:t>
      </w:r>
      <w:r w:rsidR="00B266A8" w:rsidRPr="00B266A8">
        <w:rPr>
          <w:color w:val="000000"/>
          <w:sz w:val="28"/>
          <w:szCs w:val="28"/>
          <w:lang w:val="uk-UA" w:eastAsia="en-GB"/>
        </w:rPr>
        <w:t xml:space="preserve"> наук </w:t>
      </w:r>
      <w:r w:rsidR="00BE1B17">
        <w:rPr>
          <w:color w:val="000000"/>
          <w:sz w:val="28"/>
          <w:szCs w:val="28"/>
          <w:lang w:val="uk-UA" w:eastAsia="en-GB"/>
        </w:rPr>
        <w:t>Юрченко О.М.</w:t>
      </w:r>
      <w:r w:rsidR="00B266A8" w:rsidRPr="00B266A8">
        <w:rPr>
          <w:color w:val="000000"/>
          <w:sz w:val="28"/>
          <w:szCs w:val="28"/>
          <w:lang w:val="uk-UA" w:eastAsia="en-GB"/>
        </w:rPr>
        <w:t xml:space="preserve"> </w:t>
      </w:r>
    </w:p>
    <w:p w:rsidR="00B266A8" w:rsidRPr="00B266A8" w:rsidRDefault="00B266A8" w:rsidP="003262EA">
      <w:pPr>
        <w:spacing w:after="0" w:line="240" w:lineRule="auto"/>
        <w:rPr>
          <w:rFonts w:ascii="Times New Roman" w:eastAsia="Times New Roman" w:hAnsi="Times New Roman" w:cs="Times New Roman"/>
          <w:color w:val="000000"/>
          <w:sz w:val="28"/>
          <w:szCs w:val="28"/>
          <w:lang w:eastAsia="en-GB"/>
        </w:rPr>
      </w:pPr>
    </w:p>
    <w:p w:rsidR="00B266A8" w:rsidRPr="00B266A8" w:rsidRDefault="00255851" w:rsidP="00B266A8">
      <w:pPr>
        <w:spacing w:after="15" w:line="240" w:lineRule="auto"/>
        <w:ind w:left="586" w:right="71"/>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Захист відбудеться </w:t>
      </w:r>
      <w:r>
        <w:rPr>
          <w:rFonts w:ascii="Times New Roman" w:eastAsia="Times New Roman" w:hAnsi="Times New Roman" w:cs="Times New Roman"/>
          <w:color w:val="000000"/>
          <w:sz w:val="28"/>
          <w:szCs w:val="28"/>
          <w:u w:val="single"/>
          <w:lang w:val="ru-RU" w:eastAsia="en-GB"/>
        </w:rPr>
        <w:t xml:space="preserve">16 </w:t>
      </w:r>
      <w:proofErr w:type="spellStart"/>
      <w:r>
        <w:rPr>
          <w:rFonts w:ascii="Times New Roman" w:eastAsia="Times New Roman" w:hAnsi="Times New Roman" w:cs="Times New Roman"/>
          <w:color w:val="000000"/>
          <w:sz w:val="28"/>
          <w:szCs w:val="28"/>
          <w:u w:val="single"/>
          <w:lang w:val="ru-RU" w:eastAsia="en-GB"/>
        </w:rPr>
        <w:t>червня</w:t>
      </w:r>
      <w:proofErr w:type="spellEnd"/>
      <w:r>
        <w:rPr>
          <w:rFonts w:ascii="Times New Roman" w:eastAsia="Times New Roman" w:hAnsi="Times New Roman" w:cs="Times New Roman"/>
          <w:color w:val="000000"/>
          <w:sz w:val="28"/>
          <w:szCs w:val="28"/>
          <w:u w:val="single"/>
          <w:lang w:val="ru-RU" w:eastAsia="en-GB"/>
        </w:rPr>
        <w:t xml:space="preserve"> </w:t>
      </w:r>
      <w:r w:rsidR="00C534C9">
        <w:rPr>
          <w:rFonts w:ascii="Times New Roman" w:eastAsia="Times New Roman" w:hAnsi="Times New Roman" w:cs="Times New Roman"/>
          <w:color w:val="000000"/>
          <w:sz w:val="28"/>
          <w:szCs w:val="28"/>
          <w:lang w:eastAsia="en-GB"/>
        </w:rPr>
        <w:t xml:space="preserve"> 2016</w:t>
      </w:r>
      <w:r w:rsidR="00B266A8" w:rsidRPr="00B266A8">
        <w:rPr>
          <w:rFonts w:ascii="Times New Roman" w:eastAsia="Times New Roman" w:hAnsi="Times New Roman" w:cs="Times New Roman"/>
          <w:color w:val="000000"/>
          <w:sz w:val="28"/>
          <w:szCs w:val="28"/>
          <w:lang w:eastAsia="en-GB"/>
        </w:rPr>
        <w:t xml:space="preserve"> р. о _____ годині у Національному технічному університеті України «Київський політехнічний інститут» за адресою: </w:t>
      </w:r>
    </w:p>
    <w:p w:rsidR="00B266A8" w:rsidRPr="00B266A8" w:rsidRDefault="00B266A8" w:rsidP="00B266A8">
      <w:pPr>
        <w:spacing w:after="15" w:line="240" w:lineRule="auto"/>
        <w:ind w:left="586" w:right="7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03056, м. Київ-56, вул. </w:t>
      </w:r>
      <w:proofErr w:type="spellStart"/>
      <w:r w:rsidRPr="00B266A8">
        <w:rPr>
          <w:rFonts w:ascii="Times New Roman" w:eastAsia="Times New Roman" w:hAnsi="Times New Roman" w:cs="Times New Roman"/>
          <w:color w:val="000000"/>
          <w:sz w:val="28"/>
          <w:szCs w:val="28"/>
          <w:lang w:eastAsia="en-GB"/>
        </w:rPr>
        <w:t>Борщагівська</w:t>
      </w:r>
      <w:proofErr w:type="spellEnd"/>
      <w:r w:rsidRPr="00B266A8">
        <w:rPr>
          <w:rFonts w:ascii="Times New Roman" w:eastAsia="Times New Roman" w:hAnsi="Times New Roman" w:cs="Times New Roman"/>
          <w:color w:val="000000"/>
          <w:sz w:val="28"/>
          <w:szCs w:val="28"/>
          <w:lang w:eastAsia="en-GB"/>
        </w:rPr>
        <w:t xml:space="preserve">, 115, </w:t>
      </w:r>
      <w:proofErr w:type="spellStart"/>
      <w:r w:rsidRPr="00B266A8">
        <w:rPr>
          <w:rFonts w:ascii="Times New Roman" w:eastAsia="Times New Roman" w:hAnsi="Times New Roman" w:cs="Times New Roman"/>
          <w:color w:val="000000"/>
          <w:sz w:val="28"/>
          <w:szCs w:val="28"/>
          <w:lang w:eastAsia="en-GB"/>
        </w:rPr>
        <w:t>ауд</w:t>
      </w:r>
      <w:proofErr w:type="spellEnd"/>
      <w:r w:rsidRPr="00B266A8">
        <w:rPr>
          <w:rFonts w:ascii="Times New Roman" w:eastAsia="Times New Roman" w:hAnsi="Times New Roman" w:cs="Times New Roman"/>
          <w:color w:val="000000"/>
          <w:sz w:val="28"/>
          <w:szCs w:val="28"/>
          <w:lang w:eastAsia="en-GB"/>
        </w:rPr>
        <w:t xml:space="preserve">. 309а-22. </w:t>
      </w:r>
    </w:p>
    <w:p w:rsidR="00B266A8" w:rsidRPr="00B266A8" w:rsidRDefault="00B266A8" w:rsidP="00B266A8">
      <w:pPr>
        <w:spacing w:after="0" w:line="240" w:lineRule="auto"/>
        <w:ind w:left="586"/>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 xml:space="preserve"> </w:t>
      </w:r>
    </w:p>
    <w:p w:rsidR="003262EA" w:rsidRDefault="00B266A8" w:rsidP="003262EA">
      <w:pPr>
        <w:spacing w:after="15" w:line="240" w:lineRule="auto"/>
        <w:ind w:left="586" w:right="71"/>
        <w:jc w:val="both"/>
        <w:rPr>
          <w:rFonts w:ascii="Times New Roman" w:eastAsia="Times New Roman" w:hAnsi="Times New Roman" w:cs="Times New Roman"/>
          <w:color w:val="000000"/>
          <w:sz w:val="28"/>
          <w:szCs w:val="28"/>
          <w:lang w:eastAsia="en-GB"/>
        </w:rPr>
      </w:pPr>
      <w:r w:rsidRPr="00B266A8">
        <w:rPr>
          <w:rFonts w:ascii="Times New Roman" w:eastAsia="Times New Roman" w:hAnsi="Times New Roman" w:cs="Times New Roman"/>
          <w:color w:val="000000"/>
          <w:sz w:val="28"/>
          <w:szCs w:val="28"/>
          <w:lang w:eastAsia="en-GB"/>
        </w:rPr>
        <w:t>З дисертацією можна ознайомитися на кафедрі електропостачання  Національного технічного університету України «Київський політехнічний</w:t>
      </w:r>
      <w:r w:rsidR="003262EA">
        <w:rPr>
          <w:rFonts w:ascii="Times New Roman" w:eastAsia="Times New Roman" w:hAnsi="Times New Roman" w:cs="Times New Roman"/>
          <w:color w:val="000000"/>
          <w:sz w:val="28"/>
          <w:szCs w:val="28"/>
          <w:lang w:eastAsia="en-GB"/>
        </w:rPr>
        <w:t xml:space="preserve"> інститут» за адресою: 03056, </w:t>
      </w:r>
      <w:r w:rsidRPr="00B266A8">
        <w:rPr>
          <w:rFonts w:ascii="Times New Roman" w:eastAsia="Times New Roman" w:hAnsi="Times New Roman" w:cs="Times New Roman"/>
          <w:color w:val="000000"/>
          <w:sz w:val="28"/>
          <w:szCs w:val="28"/>
          <w:lang w:eastAsia="en-GB"/>
        </w:rPr>
        <w:t xml:space="preserve">м. Київ-56, </w:t>
      </w:r>
      <w:proofErr w:type="spellStart"/>
      <w:r w:rsidRPr="00B266A8">
        <w:rPr>
          <w:rFonts w:ascii="Times New Roman" w:eastAsia="Times New Roman" w:hAnsi="Times New Roman" w:cs="Times New Roman"/>
          <w:color w:val="000000"/>
          <w:sz w:val="28"/>
          <w:szCs w:val="28"/>
          <w:lang w:eastAsia="en-GB"/>
        </w:rPr>
        <w:t>Борщагівська</w:t>
      </w:r>
      <w:proofErr w:type="spellEnd"/>
      <w:r w:rsidRPr="00B266A8">
        <w:rPr>
          <w:rFonts w:ascii="Times New Roman" w:eastAsia="Times New Roman" w:hAnsi="Times New Roman" w:cs="Times New Roman"/>
          <w:color w:val="000000"/>
          <w:sz w:val="28"/>
          <w:szCs w:val="28"/>
          <w:lang w:eastAsia="en-GB"/>
        </w:rPr>
        <w:t xml:space="preserve">, 115. </w:t>
      </w:r>
      <w:bookmarkEnd w:id="0"/>
      <w:bookmarkEnd w:id="1"/>
      <w:bookmarkEnd w:id="2"/>
    </w:p>
    <w:p w:rsidR="005F70D8" w:rsidRDefault="005F70D8">
      <w:pPr>
        <w:rPr>
          <w:rFonts w:ascii="Times New Roman" w:eastAsia="Times New Roman" w:hAnsi="Times New Roman" w:cs="Times New Roman"/>
          <w:color w:val="000000"/>
          <w:sz w:val="28"/>
          <w:szCs w:val="28"/>
          <w:lang w:eastAsia="en-GB"/>
        </w:rPr>
        <w:sectPr w:rsidR="005F70D8" w:rsidSect="004B5807">
          <w:headerReference w:type="default" r:id="rId9"/>
          <w:pgSz w:w="11906" w:h="16838"/>
          <w:pgMar w:top="850" w:right="850" w:bottom="850" w:left="1417" w:header="708" w:footer="708" w:gutter="0"/>
          <w:pgNumType w:start="1"/>
          <w:cols w:space="708"/>
          <w:docGrid w:linePitch="360"/>
        </w:sectPr>
      </w:pPr>
    </w:p>
    <w:p w:rsidR="00EE3A26" w:rsidRDefault="00EE3A26" w:rsidP="00EE3A26">
      <w:pPr>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ЗАГАЛЬНА ХАРАКТЕРИСТИКА РОБОТИ</w:t>
      </w:r>
    </w:p>
    <w:p w:rsidR="006426E7" w:rsidRDefault="006426E7" w:rsidP="00EE3A26">
      <w:pPr>
        <w:widowControl w:val="0"/>
        <w:spacing w:after="0" w:line="360" w:lineRule="auto"/>
        <w:ind w:firstLine="709"/>
        <w:jc w:val="center"/>
        <w:rPr>
          <w:rFonts w:ascii="Times New Roman" w:hAnsi="Times New Roman"/>
          <w:b/>
          <w:sz w:val="28"/>
          <w:szCs w:val="28"/>
        </w:rPr>
      </w:pPr>
    </w:p>
    <w:p w:rsidR="00A12E53" w:rsidRDefault="00A12E53" w:rsidP="002C4675">
      <w:pPr>
        <w:widowControl w:val="0"/>
        <w:spacing w:after="0" w:line="360" w:lineRule="auto"/>
        <w:ind w:firstLine="708"/>
        <w:jc w:val="both"/>
        <w:rPr>
          <w:rFonts w:ascii="Times New Roman" w:hAnsi="Times New Roman"/>
          <w:b/>
          <w:sz w:val="28"/>
          <w:szCs w:val="28"/>
        </w:rPr>
      </w:pPr>
      <w:r w:rsidRPr="004A201C">
        <w:rPr>
          <w:rFonts w:ascii="Times New Roman" w:hAnsi="Times New Roman"/>
          <w:b/>
          <w:sz w:val="28"/>
          <w:szCs w:val="28"/>
        </w:rPr>
        <w:t xml:space="preserve">Актуальність теми магістерської </w:t>
      </w:r>
      <w:r>
        <w:rPr>
          <w:rFonts w:ascii="Times New Roman" w:hAnsi="Times New Roman"/>
          <w:b/>
          <w:sz w:val="28"/>
          <w:szCs w:val="28"/>
        </w:rPr>
        <w:t>дисертації</w:t>
      </w:r>
    </w:p>
    <w:p w:rsidR="00F95943" w:rsidRPr="00F95943" w:rsidRDefault="00F95943" w:rsidP="002C4675">
      <w:pPr>
        <w:widowControl w:val="0"/>
        <w:spacing w:after="0" w:line="360" w:lineRule="auto"/>
        <w:ind w:firstLine="708"/>
        <w:jc w:val="both"/>
        <w:rPr>
          <w:rFonts w:ascii="Times New Roman" w:hAnsi="Times New Roman"/>
          <w:sz w:val="28"/>
          <w:szCs w:val="28"/>
        </w:rPr>
      </w:pPr>
      <w:r w:rsidRPr="00F95943">
        <w:rPr>
          <w:rFonts w:ascii="Times New Roman" w:hAnsi="Times New Roman"/>
          <w:sz w:val="28"/>
          <w:szCs w:val="28"/>
        </w:rPr>
        <w:t>Стрімкий розвиток суспільства, науки та техніки, який спостерігається протягом останніх десятиліть, зумовив небачений до цього часу попит на енергоресурси. Забезпеченість країни енергоносіями є запорукою розвитку не лише економіки, а й усіх суспільних сфер життєдіяльності. На даному етапі розвитку все більш значуще місце посідає відновлювана</w:t>
      </w:r>
      <w:r>
        <w:rPr>
          <w:rFonts w:ascii="Times New Roman" w:hAnsi="Times New Roman"/>
          <w:sz w:val="28"/>
          <w:szCs w:val="28"/>
        </w:rPr>
        <w:t xml:space="preserve"> енергетика</w:t>
      </w:r>
      <w:r w:rsidRPr="00F95943">
        <w:rPr>
          <w:rFonts w:ascii="Times New Roman" w:hAnsi="Times New Roman"/>
          <w:sz w:val="28"/>
          <w:szCs w:val="28"/>
        </w:rPr>
        <w:t xml:space="preserve"> Про важливість і актуальність альтернативної енергетики в нашій країні свідчить створення Державного агентства з енергоефективності та енергозбереження</w:t>
      </w:r>
      <w:r>
        <w:rPr>
          <w:rFonts w:ascii="Times New Roman" w:hAnsi="Times New Roman"/>
          <w:sz w:val="28"/>
          <w:szCs w:val="28"/>
        </w:rPr>
        <w:t xml:space="preserve"> України</w:t>
      </w:r>
      <w:r w:rsidRPr="00F95943">
        <w:rPr>
          <w:rFonts w:ascii="Times New Roman" w:hAnsi="Times New Roman"/>
          <w:sz w:val="28"/>
          <w:szCs w:val="28"/>
        </w:rPr>
        <w:t>. Тому аналіз сучасного стану даної галузі господарства, а також прогнозування можливого розвитку подій набуває надзвичайної актуальності</w:t>
      </w:r>
      <w:r>
        <w:rPr>
          <w:rFonts w:ascii="Times New Roman" w:hAnsi="Times New Roman"/>
          <w:sz w:val="28"/>
          <w:szCs w:val="28"/>
        </w:rPr>
        <w:t>.</w:t>
      </w:r>
    </w:p>
    <w:p w:rsidR="00D861E7" w:rsidRPr="004C4F3C" w:rsidRDefault="00D861E7" w:rsidP="002C4675">
      <w:pPr>
        <w:widowControl w:val="0"/>
        <w:spacing w:after="0" w:line="360" w:lineRule="auto"/>
        <w:ind w:firstLine="708"/>
        <w:jc w:val="both"/>
        <w:rPr>
          <w:rFonts w:ascii="Times New Roman" w:hAnsi="Times New Roman"/>
          <w:sz w:val="28"/>
          <w:szCs w:val="28"/>
        </w:rPr>
      </w:pPr>
      <w:r w:rsidRPr="00D861E7">
        <w:rPr>
          <w:rFonts w:ascii="Times New Roman" w:hAnsi="Times New Roman"/>
          <w:sz w:val="28"/>
          <w:szCs w:val="28"/>
        </w:rPr>
        <w:t>Використання відновлюваних джерел енергії (ВДЕ) є одним із найбільш важливих напрямів енергетичної політики України, направленої на заощадження традиційних паливно-енергетичних ресурсів та поліпшення стану оточуючого середовища.</w:t>
      </w:r>
    </w:p>
    <w:p w:rsidR="00BE1B17" w:rsidRDefault="00F95943" w:rsidP="002C4675">
      <w:pPr>
        <w:widowControl w:val="0"/>
        <w:spacing w:after="0" w:line="360" w:lineRule="auto"/>
        <w:ind w:firstLine="708"/>
        <w:jc w:val="both"/>
        <w:rPr>
          <w:rFonts w:ascii="Times New Roman" w:hAnsi="Times New Roman"/>
          <w:sz w:val="28"/>
          <w:szCs w:val="28"/>
        </w:rPr>
      </w:pPr>
      <w:r w:rsidRPr="00F95943">
        <w:rPr>
          <w:rFonts w:ascii="Times New Roman" w:hAnsi="Times New Roman"/>
          <w:sz w:val="28"/>
          <w:szCs w:val="28"/>
        </w:rPr>
        <w:t>Напрям роботи п</w:t>
      </w:r>
      <w:r>
        <w:rPr>
          <w:rFonts w:ascii="Times New Roman" w:hAnsi="Times New Roman"/>
          <w:sz w:val="28"/>
          <w:szCs w:val="28"/>
        </w:rPr>
        <w:t>ов’язан</w:t>
      </w:r>
      <w:r w:rsidRPr="00F95943">
        <w:rPr>
          <w:rFonts w:ascii="Times New Roman" w:hAnsi="Times New Roman"/>
          <w:sz w:val="28"/>
          <w:szCs w:val="28"/>
        </w:rPr>
        <w:t>ий</w:t>
      </w:r>
      <w:r w:rsidR="00BE1B17" w:rsidRPr="00BE1B17">
        <w:rPr>
          <w:rFonts w:ascii="Times New Roman" w:hAnsi="Times New Roman"/>
          <w:sz w:val="28"/>
          <w:szCs w:val="28"/>
        </w:rPr>
        <w:t xml:space="preserve"> із застосуванням технологій та комплексних технічних рішень у сфері енергопостачання, що забезпечують:  скорочення споживання запасів традиційних паливно-енергетичних ресурсів на виробництво теплової та електричної енергії −  на рівні суб’єктів господарювання; зниження енергоємності виробничих процесів – у масштабах галузі; покращення екологічного стану навколишнього середовища та зменшенні залежності Української економіки від імпортних енергоносіїв, природного газу (ПГ) зокрема – на загальнодержавному рівні</w:t>
      </w:r>
      <w:r w:rsidR="00BE1B17">
        <w:rPr>
          <w:rFonts w:ascii="Times New Roman" w:hAnsi="Times New Roman"/>
          <w:sz w:val="28"/>
          <w:szCs w:val="28"/>
        </w:rPr>
        <w:t>.</w:t>
      </w:r>
    </w:p>
    <w:p w:rsidR="00F14A4E" w:rsidRPr="00F14A4E" w:rsidRDefault="00F14A4E" w:rsidP="002C4675">
      <w:pPr>
        <w:widowControl w:val="0"/>
        <w:spacing w:after="0" w:line="360" w:lineRule="auto"/>
        <w:ind w:firstLine="708"/>
        <w:jc w:val="both"/>
        <w:rPr>
          <w:rFonts w:ascii="Times New Roman" w:hAnsi="Times New Roman"/>
          <w:sz w:val="28"/>
          <w:szCs w:val="28"/>
        </w:rPr>
      </w:pPr>
      <w:r w:rsidRPr="00F14A4E">
        <w:rPr>
          <w:rFonts w:ascii="Times New Roman" w:hAnsi="Times New Roman"/>
          <w:sz w:val="28"/>
          <w:szCs w:val="28"/>
        </w:rPr>
        <w:t>Науково-технічним проблемам  виробництва енергії</w:t>
      </w:r>
      <w:r>
        <w:rPr>
          <w:rFonts w:ascii="Times New Roman" w:hAnsi="Times New Roman"/>
          <w:sz w:val="28"/>
          <w:szCs w:val="28"/>
        </w:rPr>
        <w:t xml:space="preserve"> шляхом </w:t>
      </w:r>
      <w:r w:rsidR="009F5D89" w:rsidRPr="009F5D89">
        <w:rPr>
          <w:rFonts w:ascii="Times New Roman" w:hAnsi="Times New Roman"/>
          <w:sz w:val="28"/>
          <w:szCs w:val="28"/>
        </w:rPr>
        <w:t>переробки</w:t>
      </w:r>
      <w:r>
        <w:rPr>
          <w:rFonts w:ascii="Times New Roman" w:hAnsi="Times New Roman"/>
          <w:sz w:val="28"/>
          <w:szCs w:val="28"/>
        </w:rPr>
        <w:t xml:space="preserve"> деревини</w:t>
      </w:r>
      <w:r w:rsidRPr="00F14A4E">
        <w:rPr>
          <w:rFonts w:ascii="Times New Roman" w:hAnsi="Times New Roman"/>
          <w:sz w:val="28"/>
          <w:szCs w:val="28"/>
        </w:rPr>
        <w:t xml:space="preserve"> присвячена низка досліджень вітчизняних і зарубіжних вчених. Так основними джерелами, що розкривають теоретичні основи виробництва енергії </w:t>
      </w:r>
      <w:r>
        <w:rPr>
          <w:rFonts w:ascii="Times New Roman" w:hAnsi="Times New Roman"/>
          <w:sz w:val="28"/>
          <w:szCs w:val="28"/>
        </w:rPr>
        <w:t xml:space="preserve">шляхом піролізу </w:t>
      </w:r>
      <w:r w:rsidRPr="00F14A4E">
        <w:rPr>
          <w:rFonts w:ascii="Times New Roman" w:hAnsi="Times New Roman"/>
          <w:sz w:val="28"/>
          <w:szCs w:val="28"/>
        </w:rPr>
        <w:t xml:space="preserve">є роботи </w:t>
      </w:r>
      <w:r>
        <w:rPr>
          <w:rFonts w:ascii="Times New Roman" w:hAnsi="Times New Roman"/>
          <w:sz w:val="28"/>
          <w:szCs w:val="28"/>
        </w:rPr>
        <w:t>В</w:t>
      </w:r>
      <w:r w:rsidRPr="00F14A4E">
        <w:rPr>
          <w:rFonts w:ascii="Times New Roman" w:hAnsi="Times New Roman"/>
          <w:sz w:val="28"/>
          <w:szCs w:val="28"/>
        </w:rPr>
        <w:t>.</w:t>
      </w:r>
      <w:r>
        <w:rPr>
          <w:rFonts w:ascii="Times New Roman" w:hAnsi="Times New Roman"/>
          <w:sz w:val="28"/>
          <w:szCs w:val="28"/>
        </w:rPr>
        <w:t xml:space="preserve"> Ляміна, А</w:t>
      </w:r>
      <w:r w:rsidRPr="00F14A4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Слявянского</w:t>
      </w:r>
      <w:proofErr w:type="spellEnd"/>
      <w:r w:rsidRPr="00F14A4E">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Кісліцина</w:t>
      </w:r>
      <w:proofErr w:type="spellEnd"/>
      <w:r w:rsidRPr="00F14A4E">
        <w:rPr>
          <w:rFonts w:ascii="Times New Roman" w:hAnsi="Times New Roman"/>
          <w:sz w:val="28"/>
          <w:szCs w:val="28"/>
        </w:rPr>
        <w:t xml:space="preserve">,  </w:t>
      </w:r>
      <w:r>
        <w:rPr>
          <w:rFonts w:ascii="Times New Roman" w:hAnsi="Times New Roman"/>
          <w:sz w:val="28"/>
          <w:szCs w:val="28"/>
        </w:rPr>
        <w:t>Н</w:t>
      </w:r>
      <w:r w:rsidRPr="00F14A4E">
        <w:rPr>
          <w:rFonts w:ascii="Times New Roman" w:hAnsi="Times New Roman"/>
          <w:sz w:val="28"/>
          <w:szCs w:val="28"/>
        </w:rPr>
        <w:t xml:space="preserve">. </w:t>
      </w:r>
      <w:proofErr w:type="spellStart"/>
      <w:r>
        <w:rPr>
          <w:rFonts w:ascii="Times New Roman" w:hAnsi="Times New Roman"/>
          <w:sz w:val="28"/>
          <w:szCs w:val="28"/>
        </w:rPr>
        <w:t>Тімербаєв</w:t>
      </w:r>
      <w:r w:rsidR="009F5D89" w:rsidRPr="009F5D89">
        <w:rPr>
          <w:rFonts w:ascii="Times New Roman" w:hAnsi="Times New Roman"/>
          <w:sz w:val="28"/>
          <w:szCs w:val="28"/>
        </w:rPr>
        <w:t>а</w:t>
      </w:r>
      <w:proofErr w:type="spellEnd"/>
      <w:r w:rsidRPr="00F14A4E">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Садртдінов</w:t>
      </w:r>
      <w:r w:rsidR="009F5D89" w:rsidRPr="009F5D89">
        <w:rPr>
          <w:rFonts w:ascii="Times New Roman" w:hAnsi="Times New Roman"/>
          <w:sz w:val="28"/>
          <w:szCs w:val="28"/>
        </w:rPr>
        <w:t>а</w:t>
      </w:r>
      <w:proofErr w:type="spellEnd"/>
      <w:r w:rsidRPr="00F14A4E">
        <w:rPr>
          <w:rFonts w:ascii="Times New Roman" w:hAnsi="Times New Roman"/>
          <w:sz w:val="28"/>
          <w:szCs w:val="28"/>
        </w:rPr>
        <w:t xml:space="preserve">.  </w:t>
      </w:r>
    </w:p>
    <w:p w:rsidR="00F14A4E" w:rsidRPr="00F14A4E" w:rsidRDefault="00F14A4E" w:rsidP="002C4675">
      <w:pPr>
        <w:widowControl w:val="0"/>
        <w:spacing w:after="0" w:line="360" w:lineRule="auto"/>
        <w:ind w:firstLine="708"/>
        <w:jc w:val="both"/>
        <w:rPr>
          <w:rFonts w:ascii="Times New Roman" w:hAnsi="Times New Roman"/>
          <w:sz w:val="28"/>
          <w:szCs w:val="28"/>
        </w:rPr>
      </w:pPr>
      <w:r w:rsidRPr="00F14A4E">
        <w:rPr>
          <w:rFonts w:ascii="Times New Roman" w:hAnsi="Times New Roman"/>
          <w:sz w:val="28"/>
          <w:szCs w:val="28"/>
        </w:rPr>
        <w:t xml:space="preserve">Аналіз доцільності використання  </w:t>
      </w:r>
      <w:proofErr w:type="spellStart"/>
      <w:r w:rsidRPr="00F14A4E">
        <w:rPr>
          <w:rFonts w:ascii="Times New Roman" w:hAnsi="Times New Roman"/>
          <w:sz w:val="28"/>
          <w:szCs w:val="28"/>
        </w:rPr>
        <w:t>розплавно-карбонатного</w:t>
      </w:r>
      <w:proofErr w:type="spellEnd"/>
      <w:r w:rsidRPr="00F14A4E">
        <w:rPr>
          <w:rFonts w:ascii="Times New Roman" w:hAnsi="Times New Roman"/>
          <w:sz w:val="28"/>
          <w:szCs w:val="28"/>
        </w:rPr>
        <w:t xml:space="preserve"> паливного </w:t>
      </w:r>
      <w:r w:rsidRPr="00F14A4E">
        <w:rPr>
          <w:rFonts w:ascii="Times New Roman" w:hAnsi="Times New Roman"/>
          <w:sz w:val="28"/>
          <w:szCs w:val="28"/>
        </w:rPr>
        <w:lastRenderedPageBreak/>
        <w:t xml:space="preserve">елемента розглянуто в роботах </w:t>
      </w:r>
      <w:r w:rsidR="00F95943">
        <w:rPr>
          <w:rFonts w:ascii="Times New Roman" w:hAnsi="Times New Roman"/>
          <w:sz w:val="28"/>
          <w:szCs w:val="28"/>
          <w:lang w:val="en-US"/>
        </w:rPr>
        <w:t>Song</w:t>
      </w:r>
      <w:r w:rsidR="00F95943" w:rsidRPr="00F95943">
        <w:rPr>
          <w:rFonts w:ascii="Times New Roman" w:hAnsi="Times New Roman"/>
          <w:sz w:val="28"/>
          <w:szCs w:val="28"/>
        </w:rPr>
        <w:t xml:space="preserve"> </w:t>
      </w:r>
      <w:r w:rsidR="00F95943">
        <w:rPr>
          <w:rFonts w:ascii="Times New Roman" w:hAnsi="Times New Roman"/>
          <w:sz w:val="28"/>
          <w:szCs w:val="28"/>
          <w:lang w:val="en-US"/>
        </w:rPr>
        <w:t>S</w:t>
      </w:r>
      <w:r w:rsidR="00F95943" w:rsidRPr="00F95943">
        <w:rPr>
          <w:rFonts w:ascii="Times New Roman" w:hAnsi="Times New Roman"/>
          <w:sz w:val="28"/>
          <w:szCs w:val="28"/>
        </w:rPr>
        <w:t xml:space="preserve">., </w:t>
      </w:r>
      <w:proofErr w:type="gramStart"/>
      <w:r w:rsidR="00F95943">
        <w:rPr>
          <w:rFonts w:ascii="Times New Roman" w:hAnsi="Times New Roman"/>
          <w:sz w:val="28"/>
          <w:szCs w:val="28"/>
          <w:lang w:val="en-US"/>
        </w:rPr>
        <w:t>Han</w:t>
      </w:r>
      <w:r w:rsidR="00F95943" w:rsidRPr="00F95943">
        <w:rPr>
          <w:rFonts w:ascii="Times New Roman" w:hAnsi="Times New Roman"/>
          <w:sz w:val="28"/>
          <w:szCs w:val="28"/>
        </w:rPr>
        <w:t xml:space="preserve"> </w:t>
      </w:r>
      <w:r w:rsidR="00F95943">
        <w:rPr>
          <w:rFonts w:ascii="Times New Roman" w:hAnsi="Times New Roman"/>
          <w:sz w:val="28"/>
          <w:szCs w:val="28"/>
          <w:lang w:val="en-US"/>
        </w:rPr>
        <w:t>J</w:t>
      </w:r>
      <w:r w:rsidR="00F95943" w:rsidRPr="00F95943">
        <w:rPr>
          <w:rFonts w:ascii="Times New Roman" w:hAnsi="Times New Roman"/>
          <w:sz w:val="28"/>
          <w:szCs w:val="28"/>
        </w:rPr>
        <w:t xml:space="preserve">., </w:t>
      </w:r>
      <w:proofErr w:type="spellStart"/>
      <w:r w:rsidRPr="00F14A4E">
        <w:rPr>
          <w:rFonts w:ascii="Times New Roman" w:hAnsi="Times New Roman"/>
          <w:sz w:val="28"/>
          <w:szCs w:val="28"/>
        </w:rPr>
        <w:t>Buccarella</w:t>
      </w:r>
      <w:proofErr w:type="spellEnd"/>
      <w:r w:rsidRPr="00F14A4E">
        <w:rPr>
          <w:rFonts w:ascii="Times New Roman" w:hAnsi="Times New Roman"/>
          <w:sz w:val="28"/>
          <w:szCs w:val="28"/>
        </w:rPr>
        <w:t xml:space="preserve"> M., </w:t>
      </w:r>
      <w:proofErr w:type="spellStart"/>
      <w:r w:rsidRPr="00F14A4E">
        <w:rPr>
          <w:rFonts w:ascii="Times New Roman" w:hAnsi="Times New Roman"/>
          <w:sz w:val="28"/>
          <w:szCs w:val="28"/>
        </w:rPr>
        <w:t>Cecchini</w:t>
      </w:r>
      <w:proofErr w:type="spellEnd"/>
      <w:r w:rsidRPr="00F14A4E">
        <w:rPr>
          <w:rFonts w:ascii="Times New Roman" w:hAnsi="Times New Roman"/>
          <w:sz w:val="28"/>
          <w:szCs w:val="28"/>
        </w:rPr>
        <w:t xml:space="preserve"> M., </w:t>
      </w:r>
      <w:proofErr w:type="spellStart"/>
      <w:r w:rsidRPr="00F14A4E">
        <w:rPr>
          <w:rFonts w:ascii="Times New Roman" w:hAnsi="Times New Roman"/>
          <w:sz w:val="28"/>
          <w:szCs w:val="28"/>
        </w:rPr>
        <w:t>Colantoni</w:t>
      </w:r>
      <w:proofErr w:type="spellEnd"/>
      <w:r w:rsidRPr="00F14A4E">
        <w:rPr>
          <w:rFonts w:ascii="Times New Roman" w:hAnsi="Times New Roman"/>
          <w:sz w:val="28"/>
          <w:szCs w:val="28"/>
        </w:rPr>
        <w:t xml:space="preserve"> A.</w:t>
      </w:r>
      <w:proofErr w:type="gramEnd"/>
      <w:r w:rsidRPr="00F14A4E">
        <w:rPr>
          <w:rFonts w:ascii="Times New Roman" w:hAnsi="Times New Roman"/>
          <w:sz w:val="28"/>
          <w:szCs w:val="28"/>
        </w:rPr>
        <w:t xml:space="preserve"> </w:t>
      </w:r>
    </w:p>
    <w:p w:rsidR="00BE1B17" w:rsidRPr="009F5D89" w:rsidRDefault="00F14A4E" w:rsidP="002C4675">
      <w:pPr>
        <w:widowControl w:val="0"/>
        <w:spacing w:after="0" w:line="360" w:lineRule="auto"/>
        <w:ind w:firstLine="708"/>
        <w:jc w:val="both"/>
        <w:rPr>
          <w:rFonts w:ascii="Times New Roman" w:hAnsi="Times New Roman"/>
          <w:sz w:val="28"/>
          <w:szCs w:val="28"/>
        </w:rPr>
      </w:pPr>
      <w:r w:rsidRPr="00F14A4E">
        <w:rPr>
          <w:rFonts w:ascii="Times New Roman" w:hAnsi="Times New Roman"/>
          <w:sz w:val="28"/>
          <w:szCs w:val="28"/>
        </w:rPr>
        <w:t xml:space="preserve">Проблеми та перспективи впровадження екологічно чистого виробництва в Україні порушені в працях Нікішина О.В., </w:t>
      </w:r>
      <w:proofErr w:type="spellStart"/>
      <w:r w:rsidRPr="00F14A4E">
        <w:rPr>
          <w:rFonts w:ascii="Times New Roman" w:hAnsi="Times New Roman"/>
          <w:sz w:val="28"/>
          <w:szCs w:val="28"/>
        </w:rPr>
        <w:t>Корчаковської</w:t>
      </w:r>
      <w:proofErr w:type="spellEnd"/>
      <w:r w:rsidRPr="00F14A4E">
        <w:rPr>
          <w:rFonts w:ascii="Times New Roman" w:hAnsi="Times New Roman"/>
          <w:sz w:val="28"/>
          <w:szCs w:val="28"/>
        </w:rPr>
        <w:t xml:space="preserve"> Г.С., Харченко М.О., Панченко А.О.</w:t>
      </w:r>
    </w:p>
    <w:p w:rsidR="001C7B3A" w:rsidRPr="001C7B3A" w:rsidRDefault="001C7B3A" w:rsidP="002C4675">
      <w:pPr>
        <w:widowControl w:val="0"/>
        <w:spacing w:after="0" w:line="360" w:lineRule="auto"/>
        <w:ind w:firstLine="708"/>
        <w:jc w:val="both"/>
        <w:rPr>
          <w:rFonts w:ascii="Times New Roman" w:hAnsi="Times New Roman"/>
          <w:sz w:val="28"/>
          <w:szCs w:val="28"/>
        </w:rPr>
      </w:pPr>
      <w:r w:rsidRPr="00766E9C">
        <w:rPr>
          <w:rFonts w:ascii="Times New Roman" w:hAnsi="Times New Roman"/>
          <w:b/>
          <w:sz w:val="28"/>
          <w:szCs w:val="28"/>
        </w:rPr>
        <w:t>Зв’язок роботи з науковими програмами, планами, темами.</w:t>
      </w:r>
      <w:r w:rsidRPr="00766E9C">
        <w:rPr>
          <w:rFonts w:ascii="Times New Roman" w:hAnsi="Times New Roman"/>
          <w:sz w:val="28"/>
          <w:szCs w:val="28"/>
        </w:rPr>
        <w:t xml:space="preserve"> Виконані в роботі дослідження зроблені з урахуванням Енергетичної стратегія України на період до 2030 року, Комплексної державної програми енергозбереження України, Державної цільової економічної програми енергоефективності і розвитку сфери виробництва енергоносіїв з відновлюваних джерел енергії та альтерна</w:t>
      </w:r>
      <w:r w:rsidR="00F14A4E">
        <w:rPr>
          <w:rFonts w:ascii="Times New Roman" w:hAnsi="Times New Roman"/>
          <w:sz w:val="28"/>
          <w:szCs w:val="28"/>
        </w:rPr>
        <w:t>тивних видів палива на 2010-201</w:t>
      </w:r>
      <w:r w:rsidR="00F14A4E" w:rsidRPr="00F14A4E">
        <w:rPr>
          <w:rFonts w:ascii="Times New Roman" w:hAnsi="Times New Roman"/>
          <w:sz w:val="28"/>
          <w:szCs w:val="28"/>
        </w:rPr>
        <w:t>6</w:t>
      </w:r>
      <w:r w:rsidRPr="00766E9C">
        <w:rPr>
          <w:rFonts w:ascii="Times New Roman" w:hAnsi="Times New Roman"/>
          <w:sz w:val="28"/>
          <w:szCs w:val="28"/>
        </w:rPr>
        <w:t xml:space="preserve"> роки та інших. Тема дисертації відповідає пріоритетним завданням навчального процесу по підготовці</w:t>
      </w:r>
      <w:r>
        <w:rPr>
          <w:rFonts w:ascii="Times New Roman" w:hAnsi="Times New Roman"/>
          <w:sz w:val="28"/>
          <w:szCs w:val="28"/>
        </w:rPr>
        <w:t xml:space="preserve"> висококваліфікованих фахівців.</w:t>
      </w:r>
    </w:p>
    <w:p w:rsidR="00F14A4E" w:rsidRPr="00F14A4E" w:rsidRDefault="00AE54BA" w:rsidP="002C4675">
      <w:pPr>
        <w:spacing w:after="0" w:line="360" w:lineRule="auto"/>
        <w:ind w:firstLine="708"/>
        <w:jc w:val="both"/>
        <w:rPr>
          <w:rFonts w:ascii="Times New Roman" w:hAnsi="Times New Roman"/>
          <w:sz w:val="28"/>
          <w:szCs w:val="28"/>
        </w:rPr>
      </w:pPr>
      <w:r w:rsidRPr="00AE54BA">
        <w:rPr>
          <w:rFonts w:ascii="Times New Roman" w:hAnsi="Times New Roman"/>
          <w:b/>
          <w:sz w:val="28"/>
          <w:szCs w:val="28"/>
        </w:rPr>
        <w:t>Мета і задачі дослідження.</w:t>
      </w:r>
      <w:r w:rsidRPr="00AE54BA">
        <w:rPr>
          <w:rFonts w:ascii="Times New Roman" w:hAnsi="Times New Roman"/>
          <w:sz w:val="28"/>
          <w:szCs w:val="28"/>
        </w:rPr>
        <w:t xml:space="preserve"> </w:t>
      </w:r>
      <w:r w:rsidR="006426E7">
        <w:rPr>
          <w:rFonts w:ascii="Times New Roman" w:hAnsi="Times New Roman"/>
          <w:sz w:val="28"/>
          <w:szCs w:val="28"/>
        </w:rPr>
        <w:t>Метою є в</w:t>
      </w:r>
      <w:r w:rsidR="00F14A4E" w:rsidRPr="00F14A4E">
        <w:rPr>
          <w:rFonts w:ascii="Times New Roman" w:hAnsi="Times New Roman"/>
          <w:sz w:val="28"/>
          <w:szCs w:val="28"/>
        </w:rPr>
        <w:t xml:space="preserve">ибір </w:t>
      </w:r>
      <w:proofErr w:type="spellStart"/>
      <w:r w:rsidR="00F14A4E" w:rsidRPr="00F14A4E">
        <w:rPr>
          <w:rFonts w:ascii="Times New Roman" w:hAnsi="Times New Roman"/>
          <w:sz w:val="28"/>
          <w:szCs w:val="28"/>
        </w:rPr>
        <w:t>субоптимального</w:t>
      </w:r>
      <w:proofErr w:type="spellEnd"/>
      <w:r w:rsidR="00F14A4E" w:rsidRPr="00F14A4E">
        <w:rPr>
          <w:rFonts w:ascii="Times New Roman" w:hAnsi="Times New Roman"/>
          <w:sz w:val="28"/>
          <w:szCs w:val="28"/>
        </w:rPr>
        <w:t xml:space="preserve"> компонувального рішення автономної комплексної системи енергопостачання (КСЕ) господарського об’єкта шляхом </w:t>
      </w:r>
      <w:proofErr w:type="spellStart"/>
      <w:r w:rsidR="00F14A4E" w:rsidRPr="00F14A4E">
        <w:rPr>
          <w:rFonts w:ascii="Times New Roman" w:hAnsi="Times New Roman"/>
          <w:sz w:val="28"/>
          <w:szCs w:val="28"/>
        </w:rPr>
        <w:t>співставних</w:t>
      </w:r>
      <w:proofErr w:type="spellEnd"/>
      <w:r w:rsidR="00F14A4E" w:rsidRPr="00F14A4E">
        <w:rPr>
          <w:rFonts w:ascii="Times New Roman" w:hAnsi="Times New Roman"/>
          <w:sz w:val="28"/>
          <w:szCs w:val="28"/>
        </w:rPr>
        <w:t xml:space="preserve"> варіантних розрахунків техніко-економічних показників (оцінок нормованої собівартості та ціни) виробництва теплової та електричної енергії для КСЕ із застосуванням паливних елементів (ПЕ) та організацією циклу утилізації технологічних відходів деревообробного підприємства, що  використовується у якості первинного палива. </w:t>
      </w:r>
    </w:p>
    <w:p w:rsidR="00F14A4E" w:rsidRPr="00F14A4E" w:rsidRDefault="00F14A4E" w:rsidP="002C4675">
      <w:pPr>
        <w:spacing w:after="0" w:line="360" w:lineRule="auto"/>
        <w:ind w:firstLine="708"/>
        <w:jc w:val="both"/>
        <w:rPr>
          <w:rFonts w:ascii="Times New Roman" w:hAnsi="Times New Roman"/>
          <w:sz w:val="28"/>
          <w:szCs w:val="28"/>
        </w:rPr>
      </w:pPr>
      <w:r w:rsidRPr="00F14A4E">
        <w:rPr>
          <w:rFonts w:ascii="Times New Roman" w:hAnsi="Times New Roman"/>
          <w:sz w:val="28"/>
          <w:szCs w:val="28"/>
        </w:rPr>
        <w:t xml:space="preserve">Для досягнення поставленої мети необхідно вирішити ряд завдань: </w:t>
      </w:r>
    </w:p>
    <w:p w:rsidR="00F14A4E" w:rsidRPr="00F14A4E" w:rsidRDefault="00F14A4E" w:rsidP="002C4675">
      <w:pPr>
        <w:spacing w:after="0" w:line="360" w:lineRule="auto"/>
        <w:ind w:firstLine="708"/>
        <w:jc w:val="both"/>
        <w:rPr>
          <w:rFonts w:ascii="Times New Roman" w:hAnsi="Times New Roman"/>
          <w:sz w:val="28"/>
          <w:szCs w:val="28"/>
        </w:rPr>
      </w:pPr>
      <w:r w:rsidRPr="00F14A4E">
        <w:rPr>
          <w:rFonts w:ascii="Times New Roman" w:hAnsi="Times New Roman"/>
          <w:sz w:val="28"/>
          <w:szCs w:val="28"/>
        </w:rPr>
        <w:t xml:space="preserve">1) оцінити економічні показники сумісного і нарізного виробництва електричної та теплової енергії з використанням ПГ, а також у разі заміщення природного газу синтетичним паливом – врахувати вартісні  витрати  на організацію та експлуатацію технологічного циклу із застосуванням спеціального обладнання для виробництва синтез-газу із твердих технологічних відходів деревини, включно на його очищення від сполук-забруднювачів.   </w:t>
      </w:r>
    </w:p>
    <w:p w:rsidR="00F14A4E" w:rsidRPr="00F14A4E" w:rsidRDefault="00F14A4E" w:rsidP="002C4675">
      <w:pPr>
        <w:spacing w:after="0" w:line="360" w:lineRule="auto"/>
        <w:ind w:firstLine="708"/>
        <w:jc w:val="both"/>
        <w:rPr>
          <w:rFonts w:ascii="Times New Roman" w:hAnsi="Times New Roman"/>
          <w:sz w:val="28"/>
          <w:szCs w:val="28"/>
        </w:rPr>
      </w:pPr>
      <w:r w:rsidRPr="00F14A4E">
        <w:rPr>
          <w:rFonts w:ascii="Times New Roman" w:hAnsi="Times New Roman"/>
          <w:sz w:val="28"/>
          <w:szCs w:val="28"/>
        </w:rPr>
        <w:lastRenderedPageBreak/>
        <w:t xml:space="preserve">2) вибрати раціональну конфігурацію КСЕ на основі ПЕ шляхом розрахунку добових показників споживання технологічними ділянками підприємства; </w:t>
      </w:r>
    </w:p>
    <w:p w:rsidR="00F14A4E" w:rsidRPr="00F14A4E" w:rsidRDefault="00F14A4E" w:rsidP="002C4675">
      <w:pPr>
        <w:spacing w:after="0" w:line="360" w:lineRule="auto"/>
        <w:ind w:firstLine="708"/>
        <w:jc w:val="both"/>
        <w:rPr>
          <w:rFonts w:ascii="Times New Roman" w:hAnsi="Times New Roman"/>
          <w:sz w:val="28"/>
          <w:szCs w:val="28"/>
        </w:rPr>
      </w:pPr>
      <w:r w:rsidRPr="00F14A4E">
        <w:rPr>
          <w:rFonts w:ascii="Times New Roman" w:hAnsi="Times New Roman"/>
          <w:sz w:val="28"/>
          <w:szCs w:val="28"/>
        </w:rPr>
        <w:t>3) виконати розрахунки техніко-економічних оцінок виробництва електричної та теплової енергії та запропонувати раціональні технологічні режими з метою поліпшення показників енергоефективності об'єкта.</w:t>
      </w:r>
    </w:p>
    <w:p w:rsidR="00F14A4E" w:rsidRDefault="00A12E53" w:rsidP="002C4675">
      <w:pPr>
        <w:spacing w:after="0" w:line="360" w:lineRule="auto"/>
        <w:ind w:firstLine="709"/>
        <w:jc w:val="both"/>
        <w:rPr>
          <w:rFonts w:ascii="Times New Roman" w:hAnsi="Times New Roman"/>
          <w:sz w:val="28"/>
          <w:szCs w:val="28"/>
          <w:lang w:val="ru-RU"/>
        </w:rPr>
      </w:pPr>
      <w:r w:rsidRPr="00766E9C">
        <w:rPr>
          <w:rFonts w:ascii="Times New Roman" w:hAnsi="Times New Roman"/>
          <w:b/>
          <w:bCs/>
          <w:spacing w:val="-2"/>
          <w:sz w:val="28"/>
          <w:szCs w:val="28"/>
        </w:rPr>
        <w:t xml:space="preserve">Об'єкт дослідження </w:t>
      </w:r>
      <w:r w:rsidRPr="00766E9C">
        <w:rPr>
          <w:rFonts w:ascii="Times New Roman" w:hAnsi="Times New Roman"/>
          <w:spacing w:val="-2"/>
          <w:sz w:val="28"/>
          <w:szCs w:val="28"/>
        </w:rPr>
        <w:t xml:space="preserve">– </w:t>
      </w:r>
      <w:r w:rsidR="00F14A4E" w:rsidRPr="00F14A4E">
        <w:rPr>
          <w:rFonts w:ascii="Times New Roman" w:hAnsi="Times New Roman"/>
          <w:sz w:val="28"/>
          <w:szCs w:val="28"/>
        </w:rPr>
        <w:t>комплексна с</w:t>
      </w:r>
      <w:proofErr w:type="spellStart"/>
      <w:r w:rsidR="00F14A4E" w:rsidRPr="00F14A4E">
        <w:rPr>
          <w:rFonts w:ascii="Times New Roman" w:hAnsi="Times New Roman"/>
          <w:sz w:val="28"/>
          <w:szCs w:val="28"/>
          <w:lang w:val="ru-RU"/>
        </w:rPr>
        <w:t>истема</w:t>
      </w:r>
      <w:proofErr w:type="spellEnd"/>
      <w:r w:rsidR="00F14A4E" w:rsidRPr="00F14A4E">
        <w:rPr>
          <w:rFonts w:ascii="Times New Roman" w:hAnsi="Times New Roman"/>
          <w:sz w:val="28"/>
          <w:szCs w:val="28"/>
          <w:lang w:val="ru-RU"/>
        </w:rPr>
        <w:t xml:space="preserve"> </w:t>
      </w:r>
      <w:proofErr w:type="spellStart"/>
      <w:r w:rsidR="00F14A4E" w:rsidRPr="00F14A4E">
        <w:rPr>
          <w:rFonts w:ascii="Times New Roman" w:hAnsi="Times New Roman"/>
          <w:sz w:val="28"/>
          <w:szCs w:val="28"/>
          <w:lang w:val="ru-RU"/>
        </w:rPr>
        <w:t>енергопостачання</w:t>
      </w:r>
      <w:proofErr w:type="spellEnd"/>
      <w:r w:rsidR="00F14A4E" w:rsidRPr="00F14A4E">
        <w:rPr>
          <w:rFonts w:ascii="Times New Roman" w:hAnsi="Times New Roman"/>
          <w:sz w:val="28"/>
          <w:szCs w:val="28"/>
          <w:lang w:val="ru-RU"/>
        </w:rPr>
        <w:t xml:space="preserve"> </w:t>
      </w:r>
      <w:proofErr w:type="spellStart"/>
      <w:r w:rsidR="00F14A4E" w:rsidRPr="00F14A4E">
        <w:rPr>
          <w:rFonts w:ascii="Times New Roman" w:hAnsi="Times New Roman"/>
          <w:sz w:val="28"/>
          <w:szCs w:val="28"/>
          <w:lang w:val="ru-RU"/>
        </w:rPr>
        <w:t>деревообробного</w:t>
      </w:r>
      <w:proofErr w:type="spellEnd"/>
      <w:r w:rsidR="00F14A4E" w:rsidRPr="00F14A4E">
        <w:rPr>
          <w:rFonts w:ascii="Times New Roman" w:hAnsi="Times New Roman"/>
          <w:sz w:val="28"/>
          <w:szCs w:val="28"/>
          <w:lang w:val="ru-RU"/>
        </w:rPr>
        <w:t xml:space="preserve"> </w:t>
      </w:r>
      <w:proofErr w:type="spellStart"/>
      <w:r w:rsidR="00F14A4E" w:rsidRPr="00F14A4E">
        <w:rPr>
          <w:rFonts w:ascii="Times New Roman" w:hAnsi="Times New Roman"/>
          <w:sz w:val="28"/>
          <w:szCs w:val="28"/>
          <w:lang w:val="ru-RU"/>
        </w:rPr>
        <w:t>господарства</w:t>
      </w:r>
      <w:proofErr w:type="spellEnd"/>
      <w:r w:rsidR="00F14A4E" w:rsidRPr="00F14A4E">
        <w:rPr>
          <w:rFonts w:ascii="Times New Roman" w:hAnsi="Times New Roman"/>
          <w:sz w:val="28"/>
          <w:szCs w:val="28"/>
          <w:lang w:val="ru-RU"/>
        </w:rPr>
        <w:t xml:space="preserve"> з </w:t>
      </w:r>
      <w:proofErr w:type="spellStart"/>
      <w:r w:rsidR="00F14A4E" w:rsidRPr="00F14A4E">
        <w:rPr>
          <w:rFonts w:ascii="Times New Roman" w:hAnsi="Times New Roman"/>
          <w:sz w:val="28"/>
          <w:szCs w:val="28"/>
          <w:lang w:val="ru-RU"/>
        </w:rPr>
        <w:t>використанням</w:t>
      </w:r>
      <w:proofErr w:type="spellEnd"/>
      <w:r w:rsidR="00F14A4E" w:rsidRPr="00F14A4E">
        <w:rPr>
          <w:rFonts w:ascii="Times New Roman" w:hAnsi="Times New Roman"/>
          <w:sz w:val="28"/>
          <w:szCs w:val="28"/>
          <w:lang w:val="ru-RU"/>
        </w:rPr>
        <w:t xml:space="preserve"> </w:t>
      </w:r>
      <w:proofErr w:type="spellStart"/>
      <w:r w:rsidR="00F14A4E" w:rsidRPr="00F14A4E">
        <w:rPr>
          <w:rFonts w:ascii="Times New Roman" w:hAnsi="Times New Roman"/>
          <w:sz w:val="28"/>
          <w:szCs w:val="28"/>
          <w:lang w:val="ru-RU"/>
        </w:rPr>
        <w:t>паливних</w:t>
      </w:r>
      <w:proofErr w:type="spellEnd"/>
      <w:r w:rsidR="00F14A4E" w:rsidRPr="00F14A4E">
        <w:rPr>
          <w:rFonts w:ascii="Times New Roman" w:hAnsi="Times New Roman"/>
          <w:sz w:val="28"/>
          <w:szCs w:val="28"/>
          <w:lang w:val="ru-RU"/>
        </w:rPr>
        <w:t xml:space="preserve"> </w:t>
      </w:r>
      <w:proofErr w:type="spellStart"/>
      <w:r w:rsidR="00F14A4E" w:rsidRPr="00F14A4E">
        <w:rPr>
          <w:rFonts w:ascii="Times New Roman" w:hAnsi="Times New Roman"/>
          <w:sz w:val="28"/>
          <w:szCs w:val="28"/>
          <w:lang w:val="ru-RU"/>
        </w:rPr>
        <w:t>елементів</w:t>
      </w:r>
      <w:proofErr w:type="spellEnd"/>
      <w:r w:rsidR="00F14A4E" w:rsidRPr="00F14A4E">
        <w:rPr>
          <w:rFonts w:ascii="Times New Roman" w:hAnsi="Times New Roman"/>
          <w:sz w:val="28"/>
          <w:szCs w:val="28"/>
          <w:lang w:val="ru-RU"/>
        </w:rPr>
        <w:t>.</w:t>
      </w:r>
    </w:p>
    <w:p w:rsidR="00F14A4E" w:rsidRPr="00F14A4E" w:rsidRDefault="00F14A4E" w:rsidP="002C4675">
      <w:pPr>
        <w:spacing w:after="0" w:line="360" w:lineRule="auto"/>
        <w:ind w:firstLine="709"/>
        <w:jc w:val="both"/>
        <w:rPr>
          <w:rFonts w:ascii="Times New Roman" w:hAnsi="Times New Roman"/>
          <w:sz w:val="28"/>
          <w:szCs w:val="28"/>
          <w:lang w:val="ru-RU"/>
        </w:rPr>
      </w:pPr>
      <w:r>
        <w:rPr>
          <w:rFonts w:ascii="Times New Roman" w:hAnsi="Times New Roman"/>
          <w:b/>
          <w:sz w:val="28"/>
          <w:szCs w:val="28"/>
        </w:rPr>
        <w:t>Предметом дослідження</w:t>
      </w:r>
      <w:r w:rsidR="00A12E53" w:rsidRPr="00766E9C">
        <w:rPr>
          <w:rFonts w:ascii="Times New Roman" w:hAnsi="Times New Roman"/>
          <w:sz w:val="28"/>
          <w:szCs w:val="28"/>
        </w:rPr>
        <w:t xml:space="preserve"> </w:t>
      </w:r>
      <w:r w:rsidRPr="00F14A4E">
        <w:rPr>
          <w:rFonts w:ascii="Times New Roman" w:hAnsi="Times New Roman"/>
          <w:sz w:val="28"/>
          <w:szCs w:val="28"/>
        </w:rPr>
        <w:t xml:space="preserve">є технологічні компонувальні рішення для ефективної комплексної автономної системи </w:t>
      </w:r>
      <w:proofErr w:type="spellStart"/>
      <w:r w:rsidRPr="00F14A4E">
        <w:rPr>
          <w:rFonts w:ascii="Times New Roman" w:hAnsi="Times New Roman"/>
          <w:sz w:val="28"/>
          <w:szCs w:val="28"/>
        </w:rPr>
        <w:t>тепло-</w:t>
      </w:r>
      <w:proofErr w:type="spellEnd"/>
      <w:r w:rsidRPr="00F14A4E">
        <w:rPr>
          <w:rFonts w:ascii="Times New Roman" w:hAnsi="Times New Roman"/>
          <w:sz w:val="28"/>
          <w:szCs w:val="28"/>
        </w:rPr>
        <w:t xml:space="preserve"> і електропостачання деревообробного господарства (КСЕ),  які забезпечують економічну вигоду за умов господарювання в Україні в умовах кризи порівняно із  схемами енергозабезпечення на основі традиційних інженерних рішень</w:t>
      </w:r>
      <w:r w:rsidRPr="00F14A4E">
        <w:rPr>
          <w:rFonts w:ascii="Times New Roman" w:hAnsi="Times New Roman"/>
          <w:sz w:val="28"/>
          <w:szCs w:val="28"/>
          <w:lang w:val="ru-RU"/>
        </w:rPr>
        <w:t>.</w:t>
      </w:r>
    </w:p>
    <w:p w:rsidR="00A12E53" w:rsidRPr="00766E9C" w:rsidRDefault="00A12E53" w:rsidP="002C4675">
      <w:pPr>
        <w:spacing w:after="0" w:line="360" w:lineRule="auto"/>
        <w:ind w:firstLine="709"/>
        <w:jc w:val="both"/>
        <w:rPr>
          <w:rFonts w:ascii="Times New Roman" w:hAnsi="Times New Roman"/>
          <w:sz w:val="28"/>
          <w:szCs w:val="28"/>
        </w:rPr>
      </w:pPr>
      <w:r w:rsidRPr="00766E9C">
        <w:rPr>
          <w:rFonts w:ascii="Times New Roman" w:hAnsi="Times New Roman"/>
          <w:b/>
          <w:sz w:val="28"/>
          <w:szCs w:val="28"/>
        </w:rPr>
        <w:t>Методи дослідження</w:t>
      </w:r>
      <w:r w:rsidRPr="00766E9C">
        <w:rPr>
          <w:rFonts w:ascii="Times New Roman" w:hAnsi="Times New Roman"/>
          <w:sz w:val="28"/>
          <w:szCs w:val="28"/>
        </w:rPr>
        <w:t>. Наукові результати дисертаційної роботи були отримані на основі методології системного аналізу та з використанням математичних методів: статистичного аналізу, техніко-економічного аналізу.</w:t>
      </w:r>
    </w:p>
    <w:p w:rsidR="00A12E53" w:rsidRPr="0082375D" w:rsidRDefault="00A12E53" w:rsidP="00A12E53">
      <w:pPr>
        <w:widowControl w:val="0"/>
        <w:spacing w:after="0" w:line="360" w:lineRule="auto"/>
        <w:ind w:firstLine="709"/>
        <w:jc w:val="both"/>
        <w:rPr>
          <w:rFonts w:ascii="Times New Roman" w:hAnsi="Times New Roman"/>
          <w:b/>
          <w:sz w:val="28"/>
          <w:szCs w:val="28"/>
          <w:lang w:val="ru-RU"/>
        </w:rPr>
      </w:pPr>
      <w:r w:rsidRPr="00766E9C">
        <w:rPr>
          <w:rFonts w:ascii="Times New Roman" w:hAnsi="Times New Roman"/>
          <w:b/>
          <w:sz w:val="28"/>
          <w:szCs w:val="28"/>
        </w:rPr>
        <w:t xml:space="preserve">Наукова новизна одержаних результатів полягає в наступному: </w:t>
      </w:r>
    </w:p>
    <w:p w:rsidR="0082375D" w:rsidRPr="0082375D" w:rsidRDefault="0082375D" w:rsidP="0082375D">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w:t>
      </w:r>
      <w:proofErr w:type="spellStart"/>
      <w:r w:rsidRPr="0082375D">
        <w:rPr>
          <w:rFonts w:ascii="Times New Roman" w:eastAsia="Times New Roman" w:hAnsi="Times New Roman" w:cs="Times New Roman"/>
          <w:sz w:val="28"/>
          <w:szCs w:val="28"/>
          <w:lang w:eastAsia="ru-RU"/>
        </w:rPr>
        <w:t>иконано</w:t>
      </w:r>
      <w:proofErr w:type="spellEnd"/>
      <w:r w:rsidRPr="0082375D">
        <w:rPr>
          <w:rFonts w:ascii="Times New Roman" w:eastAsia="Times New Roman" w:hAnsi="Times New Roman" w:cs="Times New Roman"/>
          <w:sz w:val="28"/>
          <w:szCs w:val="28"/>
          <w:lang w:eastAsia="ru-RU"/>
        </w:rPr>
        <w:t xml:space="preserve"> обґрунтування </w:t>
      </w:r>
      <w:proofErr w:type="gramStart"/>
      <w:r w:rsidRPr="0082375D">
        <w:rPr>
          <w:rFonts w:ascii="Times New Roman" w:eastAsia="Times New Roman" w:hAnsi="Times New Roman" w:cs="Times New Roman"/>
          <w:sz w:val="28"/>
          <w:szCs w:val="28"/>
          <w:lang w:eastAsia="ru-RU"/>
        </w:rPr>
        <w:t>доц</w:t>
      </w:r>
      <w:proofErr w:type="gramEnd"/>
      <w:r w:rsidRPr="0082375D">
        <w:rPr>
          <w:rFonts w:ascii="Times New Roman" w:eastAsia="Times New Roman" w:hAnsi="Times New Roman" w:cs="Times New Roman"/>
          <w:sz w:val="28"/>
          <w:szCs w:val="28"/>
          <w:lang w:eastAsia="ru-RU"/>
        </w:rPr>
        <w:t xml:space="preserve">ільності побудови КСЕ на основі  ПЕ для підприємства деревообробної промисловості  – шляхом аналізу економічної вигоди від експлуатації нових джерел енергії в умовах економічної кризи, визначеної в реальних грошових одиницях через розрахунки кумулятивних </w:t>
      </w:r>
      <w:proofErr w:type="spellStart"/>
      <w:r w:rsidRPr="0082375D">
        <w:rPr>
          <w:rFonts w:ascii="Times New Roman" w:eastAsia="Times New Roman" w:hAnsi="Times New Roman" w:cs="Times New Roman"/>
          <w:sz w:val="28"/>
          <w:szCs w:val="28"/>
          <w:lang w:eastAsia="ru-RU"/>
        </w:rPr>
        <w:t>дисконтованих</w:t>
      </w:r>
      <w:proofErr w:type="spellEnd"/>
      <w:r w:rsidRPr="0082375D">
        <w:rPr>
          <w:rFonts w:ascii="Times New Roman" w:eastAsia="Times New Roman" w:hAnsi="Times New Roman" w:cs="Times New Roman"/>
          <w:sz w:val="28"/>
          <w:szCs w:val="28"/>
          <w:lang w:eastAsia="ru-RU"/>
        </w:rPr>
        <w:t xml:space="preserve"> грошових потоків</w:t>
      </w:r>
      <w:r>
        <w:rPr>
          <w:rFonts w:ascii="Times New Roman" w:eastAsia="Times New Roman" w:hAnsi="Times New Roman" w:cs="Times New Roman"/>
          <w:sz w:val="28"/>
          <w:szCs w:val="28"/>
          <w:lang w:val="ru-RU" w:eastAsia="ru-RU"/>
        </w:rPr>
        <w:t>.</w:t>
      </w:r>
    </w:p>
    <w:p w:rsidR="0082375D" w:rsidRPr="0082375D" w:rsidRDefault="0082375D" w:rsidP="002C4675">
      <w:pPr>
        <w:spacing w:after="0" w:line="36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ru-RU" w:eastAsia="ru-RU"/>
        </w:rPr>
        <w:t>Спроектовано</w:t>
      </w:r>
      <w:proofErr w:type="spellEnd"/>
      <w:r>
        <w:rPr>
          <w:rFonts w:ascii="Times New Roman" w:eastAsia="Times New Roman" w:hAnsi="Times New Roman" w:cs="Times New Roman"/>
          <w:sz w:val="28"/>
          <w:szCs w:val="28"/>
          <w:lang w:val="ru-RU" w:eastAsia="ru-RU"/>
        </w:rPr>
        <w:t xml:space="preserve"> в</w:t>
      </w:r>
      <w:proofErr w:type="spellStart"/>
      <w:r w:rsidRPr="0082375D">
        <w:rPr>
          <w:rFonts w:ascii="Times New Roman" w:eastAsia="Times New Roman" w:hAnsi="Times New Roman" w:cs="Times New Roman"/>
          <w:sz w:val="28"/>
          <w:szCs w:val="28"/>
          <w:lang w:eastAsia="ru-RU"/>
        </w:rPr>
        <w:t>исокоефективну</w:t>
      </w:r>
      <w:proofErr w:type="spellEnd"/>
      <w:r w:rsidRPr="0082375D">
        <w:rPr>
          <w:rFonts w:ascii="Times New Roman" w:eastAsia="Times New Roman" w:hAnsi="Times New Roman" w:cs="Times New Roman"/>
          <w:sz w:val="28"/>
          <w:szCs w:val="28"/>
          <w:lang w:eastAsia="ru-RU"/>
        </w:rPr>
        <w:t xml:space="preserve"> КСЕ з використанням </w:t>
      </w:r>
      <w:proofErr w:type="spellStart"/>
      <w:r w:rsidRPr="0082375D">
        <w:rPr>
          <w:rFonts w:ascii="Times New Roman" w:eastAsia="Times New Roman" w:hAnsi="Times New Roman" w:cs="Times New Roman"/>
          <w:sz w:val="28"/>
          <w:szCs w:val="28"/>
          <w:lang w:eastAsia="ru-RU"/>
        </w:rPr>
        <w:t>когенераційної</w:t>
      </w:r>
      <w:proofErr w:type="spellEnd"/>
      <w:r w:rsidRPr="0082375D">
        <w:rPr>
          <w:rFonts w:ascii="Times New Roman" w:eastAsia="Times New Roman" w:hAnsi="Times New Roman" w:cs="Times New Roman"/>
          <w:sz w:val="28"/>
          <w:szCs w:val="28"/>
          <w:lang w:eastAsia="ru-RU"/>
        </w:rPr>
        <w:t xml:space="preserve"> установки на промислових ПЕ, із частковим або повним заміщенням споживання ПГ синтетичним паливом, виробленим із відходів деревини методом високотемпературного </w:t>
      </w:r>
      <w:proofErr w:type="gramStart"/>
      <w:r w:rsidRPr="0082375D">
        <w:rPr>
          <w:rFonts w:ascii="Times New Roman" w:eastAsia="Times New Roman" w:hAnsi="Times New Roman" w:cs="Times New Roman"/>
          <w:sz w:val="28"/>
          <w:szCs w:val="28"/>
          <w:lang w:eastAsia="ru-RU"/>
        </w:rPr>
        <w:t>п</w:t>
      </w:r>
      <w:proofErr w:type="gramEnd"/>
      <w:r w:rsidRPr="0082375D">
        <w:rPr>
          <w:rFonts w:ascii="Times New Roman" w:eastAsia="Times New Roman" w:hAnsi="Times New Roman" w:cs="Times New Roman"/>
          <w:sz w:val="28"/>
          <w:szCs w:val="28"/>
          <w:lang w:eastAsia="ru-RU"/>
        </w:rPr>
        <w:t>іролізу.  Варіантні розрахунки техніко-економічних показників виконано із застосування детермінованої економіко-математичної моделі  життєвого циклу з урахуванням паливної компоненти.</w:t>
      </w:r>
    </w:p>
    <w:p w:rsidR="001C7B3A" w:rsidRPr="0082375D" w:rsidRDefault="00A12E53" w:rsidP="002C4675">
      <w:pPr>
        <w:spacing w:after="0" w:line="360" w:lineRule="auto"/>
        <w:ind w:firstLine="708"/>
        <w:jc w:val="both"/>
        <w:rPr>
          <w:rFonts w:ascii="Times New Roman" w:hAnsi="Times New Roman" w:cs="Times New Roman"/>
          <w:b/>
          <w:sz w:val="28"/>
          <w:szCs w:val="28"/>
        </w:rPr>
      </w:pPr>
      <w:r w:rsidRPr="00A12E53">
        <w:rPr>
          <w:rFonts w:ascii="Times New Roman" w:hAnsi="Times New Roman" w:cs="Times New Roman"/>
          <w:b/>
          <w:sz w:val="28"/>
          <w:szCs w:val="28"/>
        </w:rPr>
        <w:t>Апробація результатів дисертації</w:t>
      </w:r>
      <w:r w:rsidRPr="00A12E53">
        <w:rPr>
          <w:rFonts w:ascii="Times New Roman" w:hAnsi="Times New Roman" w:cs="Times New Roman"/>
          <w:sz w:val="28"/>
          <w:szCs w:val="28"/>
        </w:rPr>
        <w:t xml:space="preserve">. </w:t>
      </w:r>
      <w:r w:rsidR="001C7B3A" w:rsidRPr="001C7B3A">
        <w:rPr>
          <w:rFonts w:ascii="Times New Roman" w:hAnsi="Times New Roman" w:cs="Times New Roman"/>
          <w:sz w:val="28"/>
          <w:szCs w:val="28"/>
        </w:rPr>
        <w:t xml:space="preserve">Основні результати за тематикою досліджень обговорювалися та доповідалися на Міжнародній конференції </w:t>
      </w:r>
      <w:r w:rsidR="001C7B3A" w:rsidRPr="001C7B3A">
        <w:rPr>
          <w:rFonts w:ascii="Times New Roman" w:hAnsi="Times New Roman" w:cs="Times New Roman"/>
          <w:sz w:val="28"/>
          <w:szCs w:val="28"/>
        </w:rPr>
        <w:lastRenderedPageBreak/>
        <w:t>«Енергетичний менеджмент: стан та перспективи розвитку – PE</w:t>
      </w:r>
      <w:r w:rsidR="0082375D">
        <w:rPr>
          <w:rFonts w:ascii="Times New Roman" w:hAnsi="Times New Roman" w:cs="Times New Roman"/>
          <w:sz w:val="28"/>
          <w:szCs w:val="28"/>
        </w:rPr>
        <w:t>MS’15» м. Київ, 19 травня 2015р</w:t>
      </w:r>
      <w:r w:rsidR="0082375D" w:rsidRPr="0082375D">
        <w:rPr>
          <w:rFonts w:ascii="Times New Roman" w:hAnsi="Times New Roman" w:cs="Times New Roman"/>
          <w:sz w:val="28"/>
          <w:szCs w:val="28"/>
        </w:rPr>
        <w:t xml:space="preserve"> та «Енергетичний менеджмент: стан та перспективи розвитку – PE</w:t>
      </w:r>
      <w:r w:rsidR="0082375D">
        <w:rPr>
          <w:rFonts w:ascii="Times New Roman" w:hAnsi="Times New Roman" w:cs="Times New Roman"/>
          <w:sz w:val="28"/>
          <w:szCs w:val="28"/>
        </w:rPr>
        <w:t>MS’1</w:t>
      </w:r>
      <w:r w:rsidR="0082375D" w:rsidRPr="0082375D">
        <w:rPr>
          <w:rFonts w:ascii="Times New Roman" w:hAnsi="Times New Roman" w:cs="Times New Roman"/>
          <w:sz w:val="28"/>
          <w:szCs w:val="28"/>
        </w:rPr>
        <w:t>6</w:t>
      </w:r>
      <w:r w:rsidR="0082375D">
        <w:rPr>
          <w:rFonts w:ascii="Times New Roman" w:hAnsi="Times New Roman" w:cs="Times New Roman"/>
          <w:sz w:val="28"/>
          <w:szCs w:val="28"/>
        </w:rPr>
        <w:t xml:space="preserve">» м. Київ, </w:t>
      </w:r>
      <w:r w:rsidR="0082375D" w:rsidRPr="0082375D">
        <w:rPr>
          <w:rFonts w:ascii="Times New Roman" w:hAnsi="Times New Roman" w:cs="Times New Roman"/>
          <w:sz w:val="28"/>
          <w:szCs w:val="28"/>
        </w:rPr>
        <w:t>31</w:t>
      </w:r>
      <w:r w:rsidR="0082375D">
        <w:rPr>
          <w:rFonts w:ascii="Times New Roman" w:hAnsi="Times New Roman" w:cs="Times New Roman"/>
          <w:sz w:val="28"/>
          <w:szCs w:val="28"/>
        </w:rPr>
        <w:t xml:space="preserve"> травня 201</w:t>
      </w:r>
      <w:r w:rsidR="0082375D" w:rsidRPr="0082375D">
        <w:rPr>
          <w:rFonts w:ascii="Times New Roman" w:hAnsi="Times New Roman" w:cs="Times New Roman"/>
          <w:sz w:val="28"/>
          <w:szCs w:val="28"/>
        </w:rPr>
        <w:t xml:space="preserve">6р., у </w:t>
      </w:r>
      <w:r w:rsidR="0082375D" w:rsidRPr="0082375D">
        <w:rPr>
          <w:rFonts w:ascii="Times New Roman" w:hAnsi="Times New Roman" w:cs="Times New Roman"/>
          <w:bCs/>
          <w:sz w:val="28"/>
          <w:szCs w:val="28"/>
        </w:rPr>
        <w:t>міжнародній конференції</w:t>
      </w:r>
      <w:r w:rsidR="0082375D" w:rsidRPr="0082375D">
        <w:rPr>
          <w:rFonts w:ascii="Times New Roman" w:hAnsi="Times New Roman" w:cs="Times New Roman"/>
          <w:sz w:val="28"/>
          <w:szCs w:val="28"/>
        </w:rPr>
        <w:t xml:space="preserve"> «</w:t>
      </w:r>
      <w:r w:rsidR="006B1083">
        <w:rPr>
          <w:rFonts w:ascii="Times New Roman" w:hAnsi="Times New Roman" w:cs="Times New Roman"/>
          <w:sz w:val="28"/>
          <w:szCs w:val="28"/>
        </w:rPr>
        <w:t>Е</w:t>
      </w:r>
      <w:r w:rsidR="006B1083" w:rsidRPr="0082375D">
        <w:rPr>
          <w:rFonts w:ascii="Times New Roman" w:hAnsi="Times New Roman" w:cs="Times New Roman"/>
          <w:sz w:val="28"/>
          <w:szCs w:val="28"/>
        </w:rPr>
        <w:t>нергетика</w:t>
      </w:r>
      <w:r w:rsidR="0082375D" w:rsidRPr="0082375D">
        <w:rPr>
          <w:rFonts w:ascii="Times New Roman" w:hAnsi="Times New Roman" w:cs="Times New Roman"/>
          <w:sz w:val="28"/>
          <w:szCs w:val="28"/>
        </w:rPr>
        <w:t>. Е</w:t>
      </w:r>
      <w:r w:rsidR="006B1083" w:rsidRPr="0082375D">
        <w:rPr>
          <w:rFonts w:ascii="Times New Roman" w:hAnsi="Times New Roman" w:cs="Times New Roman"/>
          <w:sz w:val="28"/>
          <w:szCs w:val="28"/>
        </w:rPr>
        <w:t>кологія</w:t>
      </w:r>
      <w:r w:rsidR="0082375D" w:rsidRPr="0082375D">
        <w:rPr>
          <w:rFonts w:ascii="Times New Roman" w:hAnsi="Times New Roman" w:cs="Times New Roman"/>
          <w:sz w:val="28"/>
          <w:szCs w:val="28"/>
        </w:rPr>
        <w:t>. Л</w:t>
      </w:r>
      <w:r w:rsidR="006B1083" w:rsidRPr="0082375D">
        <w:rPr>
          <w:rFonts w:ascii="Times New Roman" w:hAnsi="Times New Roman" w:cs="Times New Roman"/>
          <w:sz w:val="28"/>
          <w:szCs w:val="28"/>
        </w:rPr>
        <w:t>юдина</w:t>
      </w:r>
      <w:r w:rsidR="0082375D" w:rsidRPr="0082375D">
        <w:rPr>
          <w:rFonts w:ascii="Times New Roman" w:hAnsi="Times New Roman" w:cs="Times New Roman"/>
          <w:sz w:val="28"/>
          <w:szCs w:val="28"/>
        </w:rPr>
        <w:t>»</w:t>
      </w:r>
      <w:r w:rsidR="0082375D" w:rsidRPr="0022614C">
        <w:rPr>
          <w:rFonts w:ascii="Times New Roman" w:hAnsi="Times New Roman" w:cs="Times New Roman"/>
          <w:sz w:val="28"/>
          <w:szCs w:val="28"/>
        </w:rPr>
        <w:t xml:space="preserve"> м. Ки</w:t>
      </w:r>
      <w:r w:rsidR="0082375D">
        <w:rPr>
          <w:rFonts w:ascii="Times New Roman" w:hAnsi="Times New Roman" w:cs="Times New Roman"/>
          <w:sz w:val="28"/>
          <w:szCs w:val="28"/>
        </w:rPr>
        <w:t xml:space="preserve">їв, </w:t>
      </w:r>
      <w:r w:rsidR="0082375D" w:rsidRPr="0022614C">
        <w:rPr>
          <w:rFonts w:ascii="Times New Roman" w:hAnsi="Times New Roman" w:cs="Times New Roman"/>
          <w:sz w:val="28"/>
          <w:szCs w:val="28"/>
        </w:rPr>
        <w:t>1 червня 2016р.</w:t>
      </w:r>
    </w:p>
    <w:p w:rsidR="001C7B3A" w:rsidRDefault="00A12E53" w:rsidP="002C4675">
      <w:pPr>
        <w:spacing w:after="0" w:line="360" w:lineRule="auto"/>
        <w:ind w:firstLine="708"/>
        <w:jc w:val="both"/>
        <w:rPr>
          <w:rFonts w:ascii="Times New Roman" w:hAnsi="Times New Roman" w:cs="Times New Roman"/>
          <w:sz w:val="28"/>
          <w:szCs w:val="28"/>
        </w:rPr>
      </w:pPr>
      <w:r w:rsidRPr="00A12E53">
        <w:rPr>
          <w:rFonts w:ascii="Times New Roman" w:hAnsi="Times New Roman" w:cs="Times New Roman"/>
          <w:b/>
          <w:sz w:val="28"/>
          <w:szCs w:val="28"/>
        </w:rPr>
        <w:t>Публікації</w:t>
      </w:r>
      <w:r w:rsidRPr="00A12E53">
        <w:rPr>
          <w:rFonts w:ascii="Times New Roman" w:hAnsi="Times New Roman" w:cs="Times New Roman"/>
          <w:sz w:val="28"/>
          <w:szCs w:val="28"/>
        </w:rPr>
        <w:t xml:space="preserve">. </w:t>
      </w:r>
      <w:r w:rsidR="001C7B3A">
        <w:rPr>
          <w:rFonts w:ascii="Times New Roman" w:hAnsi="Times New Roman" w:cs="Times New Roman"/>
          <w:sz w:val="28"/>
          <w:szCs w:val="28"/>
        </w:rPr>
        <w:t>Основний зміст дисертац</w:t>
      </w:r>
      <w:r w:rsidR="0022614C">
        <w:rPr>
          <w:rFonts w:ascii="Times New Roman" w:hAnsi="Times New Roman" w:cs="Times New Roman"/>
          <w:sz w:val="28"/>
          <w:szCs w:val="28"/>
        </w:rPr>
        <w:t>ійної роботи відображено у 3</w:t>
      </w:r>
      <w:r w:rsidR="0022614C" w:rsidRPr="0022614C">
        <w:rPr>
          <w:rFonts w:ascii="Times New Roman" w:hAnsi="Times New Roman" w:cs="Times New Roman"/>
          <w:sz w:val="28"/>
          <w:szCs w:val="28"/>
        </w:rPr>
        <w:t xml:space="preserve"> науков</w:t>
      </w:r>
      <w:r w:rsidR="004C4F3C">
        <w:rPr>
          <w:rFonts w:ascii="Times New Roman" w:hAnsi="Times New Roman" w:cs="Times New Roman"/>
          <w:sz w:val="28"/>
          <w:szCs w:val="28"/>
        </w:rPr>
        <w:t>и</w:t>
      </w:r>
      <w:r w:rsidR="004C4F3C" w:rsidRPr="006426E7">
        <w:rPr>
          <w:rFonts w:ascii="Times New Roman" w:hAnsi="Times New Roman" w:cs="Times New Roman"/>
          <w:sz w:val="28"/>
          <w:szCs w:val="28"/>
        </w:rPr>
        <w:t>х</w:t>
      </w:r>
      <w:r w:rsidR="0022614C">
        <w:rPr>
          <w:rFonts w:ascii="Times New Roman" w:hAnsi="Times New Roman" w:cs="Times New Roman"/>
          <w:sz w:val="28"/>
          <w:szCs w:val="28"/>
        </w:rPr>
        <w:t xml:space="preserve"> працях</w:t>
      </w:r>
      <w:r w:rsidR="0022614C" w:rsidRPr="0022614C">
        <w:rPr>
          <w:rFonts w:ascii="Times New Roman" w:hAnsi="Times New Roman" w:cs="Times New Roman"/>
          <w:sz w:val="28"/>
          <w:szCs w:val="28"/>
        </w:rPr>
        <w:t xml:space="preserve"> в збірниках матеріалів і тез конференцій.</w:t>
      </w:r>
    </w:p>
    <w:p w:rsidR="00DC4EA0" w:rsidRPr="009F5D89" w:rsidRDefault="009C7AC9" w:rsidP="002C4675">
      <w:pPr>
        <w:spacing w:after="0" w:line="360" w:lineRule="auto"/>
        <w:ind w:firstLine="708"/>
        <w:jc w:val="both"/>
        <w:rPr>
          <w:rFonts w:ascii="Times New Roman" w:eastAsia="Times New Roman" w:hAnsi="Times New Roman"/>
          <w:sz w:val="28"/>
          <w:szCs w:val="28"/>
        </w:rPr>
      </w:pPr>
      <w:r w:rsidRPr="00766E9C">
        <w:rPr>
          <w:rFonts w:ascii="Times New Roman" w:eastAsia="Calibri" w:hAnsi="Times New Roman" w:cs="Times New Roman"/>
          <w:b/>
          <w:kern w:val="16"/>
          <w:sz w:val="28"/>
          <w:szCs w:val="28"/>
        </w:rPr>
        <w:t xml:space="preserve">Структура й обсяг магістерської дисертації. </w:t>
      </w:r>
      <w:r w:rsidRPr="00766E9C">
        <w:rPr>
          <w:rFonts w:ascii="Times New Roman" w:eastAsia="Calibri" w:hAnsi="Times New Roman" w:cs="Times New Roman"/>
          <w:kern w:val="16"/>
          <w:sz w:val="28"/>
          <w:szCs w:val="28"/>
        </w:rPr>
        <w:t xml:space="preserve">Дисертація складається зі вступу, </w:t>
      </w:r>
      <w:r w:rsidR="0022614C">
        <w:rPr>
          <w:rFonts w:ascii="Times New Roman" w:eastAsia="Calibri" w:hAnsi="Times New Roman" w:cs="Times New Roman"/>
          <w:kern w:val="16"/>
          <w:sz w:val="28"/>
          <w:szCs w:val="28"/>
        </w:rPr>
        <w:t>3</w:t>
      </w:r>
      <w:r w:rsidRPr="00766E9C">
        <w:rPr>
          <w:rFonts w:ascii="Times New Roman" w:eastAsia="Calibri" w:hAnsi="Times New Roman" w:cs="Times New Roman"/>
          <w:kern w:val="16"/>
          <w:sz w:val="28"/>
          <w:szCs w:val="28"/>
        </w:rPr>
        <w:t xml:space="preserve"> розділів, висновків, переліку використаних джерел і додатків. Загальний обсяг роботи складає </w:t>
      </w:r>
      <w:r w:rsidR="00304279">
        <w:rPr>
          <w:rFonts w:ascii="Times New Roman" w:eastAsia="Times New Roman" w:hAnsi="Times New Roman"/>
          <w:sz w:val="28"/>
          <w:szCs w:val="28"/>
        </w:rPr>
        <w:t>135</w:t>
      </w:r>
      <w:r w:rsidR="005F70D8" w:rsidRPr="00304279">
        <w:rPr>
          <w:rFonts w:ascii="Times New Roman" w:eastAsia="Times New Roman" w:hAnsi="Times New Roman"/>
          <w:sz w:val="28"/>
          <w:szCs w:val="28"/>
        </w:rPr>
        <w:t xml:space="preserve"> </w:t>
      </w:r>
      <w:r w:rsidR="005F70D8">
        <w:rPr>
          <w:rFonts w:ascii="Times New Roman" w:eastAsia="Times New Roman" w:hAnsi="Times New Roman"/>
          <w:sz w:val="28"/>
          <w:szCs w:val="28"/>
        </w:rPr>
        <w:t xml:space="preserve">сторінок, у тому числі </w:t>
      </w:r>
      <w:r w:rsidR="00C327F0">
        <w:rPr>
          <w:rFonts w:ascii="Times New Roman" w:eastAsia="Times New Roman" w:hAnsi="Times New Roman"/>
          <w:sz w:val="28"/>
          <w:szCs w:val="28"/>
        </w:rPr>
        <w:t>107</w:t>
      </w:r>
      <w:r w:rsidRPr="00304279">
        <w:rPr>
          <w:rFonts w:ascii="Times New Roman" w:eastAsia="Times New Roman" w:hAnsi="Times New Roman"/>
          <w:sz w:val="28"/>
          <w:szCs w:val="28"/>
        </w:rPr>
        <w:t xml:space="preserve"> </w:t>
      </w:r>
      <w:r w:rsidRPr="00766E9C">
        <w:rPr>
          <w:rFonts w:ascii="Times New Roman" w:eastAsia="Times New Roman" w:hAnsi="Times New Roman"/>
          <w:sz w:val="28"/>
          <w:szCs w:val="28"/>
        </w:rPr>
        <w:t xml:space="preserve">сторінки основного тексту, </w:t>
      </w:r>
      <w:r w:rsidR="00C327F0">
        <w:rPr>
          <w:rFonts w:ascii="Times New Roman" w:eastAsia="Times New Roman" w:hAnsi="Times New Roman"/>
          <w:sz w:val="28"/>
          <w:szCs w:val="28"/>
        </w:rPr>
        <w:t>33</w:t>
      </w:r>
      <w:r w:rsidRPr="00304279">
        <w:rPr>
          <w:rFonts w:ascii="Times New Roman" w:eastAsia="Times New Roman" w:hAnsi="Times New Roman"/>
          <w:sz w:val="28"/>
          <w:szCs w:val="28"/>
        </w:rPr>
        <w:t xml:space="preserve"> </w:t>
      </w:r>
      <w:r w:rsidRPr="00766E9C">
        <w:rPr>
          <w:rFonts w:ascii="Times New Roman" w:eastAsia="Times New Roman" w:hAnsi="Times New Roman"/>
          <w:sz w:val="28"/>
          <w:szCs w:val="28"/>
        </w:rPr>
        <w:t xml:space="preserve">рисунків, </w:t>
      </w:r>
      <w:r w:rsidRPr="00304279">
        <w:rPr>
          <w:rFonts w:ascii="Times New Roman" w:eastAsia="Times New Roman" w:hAnsi="Times New Roman"/>
          <w:sz w:val="28"/>
          <w:szCs w:val="28"/>
        </w:rPr>
        <w:t>1</w:t>
      </w:r>
      <w:r w:rsidR="00C327F0">
        <w:rPr>
          <w:rFonts w:ascii="Times New Roman" w:eastAsia="Times New Roman" w:hAnsi="Times New Roman"/>
          <w:sz w:val="28"/>
          <w:szCs w:val="28"/>
        </w:rPr>
        <w:t>1</w:t>
      </w:r>
      <w:r w:rsidRPr="00304279">
        <w:rPr>
          <w:rFonts w:ascii="Times New Roman" w:eastAsia="Times New Roman" w:hAnsi="Times New Roman"/>
          <w:sz w:val="28"/>
          <w:szCs w:val="28"/>
        </w:rPr>
        <w:t xml:space="preserve"> </w:t>
      </w:r>
      <w:r w:rsidRPr="00766E9C">
        <w:rPr>
          <w:rFonts w:ascii="Times New Roman" w:eastAsia="Times New Roman" w:hAnsi="Times New Roman"/>
          <w:sz w:val="28"/>
          <w:szCs w:val="28"/>
        </w:rPr>
        <w:t xml:space="preserve">таблиць, переліку використаних джерел зі </w:t>
      </w:r>
      <w:r w:rsidR="00C327F0">
        <w:rPr>
          <w:rFonts w:ascii="Times New Roman" w:eastAsia="Times New Roman" w:hAnsi="Times New Roman"/>
          <w:sz w:val="28"/>
          <w:szCs w:val="28"/>
        </w:rPr>
        <w:t>45</w:t>
      </w:r>
      <w:r w:rsidRPr="00304279">
        <w:rPr>
          <w:rFonts w:ascii="Times New Roman" w:eastAsia="Times New Roman" w:hAnsi="Times New Roman"/>
          <w:sz w:val="28"/>
          <w:szCs w:val="28"/>
        </w:rPr>
        <w:t xml:space="preserve"> </w:t>
      </w:r>
      <w:r w:rsidR="00C327F0">
        <w:rPr>
          <w:rFonts w:ascii="Times New Roman" w:eastAsia="Times New Roman" w:hAnsi="Times New Roman"/>
          <w:sz w:val="28"/>
          <w:szCs w:val="28"/>
        </w:rPr>
        <w:t>найменуваннями</w:t>
      </w:r>
      <w:r w:rsidRPr="00766E9C">
        <w:rPr>
          <w:rFonts w:ascii="Times New Roman" w:eastAsia="Times New Roman" w:hAnsi="Times New Roman"/>
          <w:sz w:val="28"/>
          <w:szCs w:val="28"/>
        </w:rPr>
        <w:t xml:space="preserve"> та </w:t>
      </w:r>
      <w:r w:rsidR="00304279">
        <w:rPr>
          <w:rFonts w:ascii="Times New Roman" w:eastAsia="Times New Roman" w:hAnsi="Times New Roman"/>
          <w:sz w:val="28"/>
          <w:szCs w:val="28"/>
        </w:rPr>
        <w:t>2</w:t>
      </w:r>
      <w:r w:rsidRPr="00766E9C">
        <w:rPr>
          <w:rFonts w:ascii="Times New Roman" w:eastAsia="Times New Roman" w:hAnsi="Times New Roman"/>
          <w:sz w:val="28"/>
          <w:szCs w:val="28"/>
        </w:rPr>
        <w:t xml:space="preserve"> додатків.</w:t>
      </w:r>
    </w:p>
    <w:p w:rsidR="009471AE" w:rsidRPr="009471AE" w:rsidRDefault="009471AE" w:rsidP="00DC4EA0">
      <w:pPr>
        <w:spacing w:before="240" w:after="240" w:line="360" w:lineRule="auto"/>
        <w:ind w:firstLine="567"/>
        <w:jc w:val="center"/>
        <w:rPr>
          <w:rFonts w:ascii="Times New Roman" w:eastAsia="Times New Roman" w:hAnsi="Times New Roman"/>
          <w:b/>
          <w:sz w:val="28"/>
          <w:szCs w:val="24"/>
          <w:lang w:eastAsia="ru-RU"/>
        </w:rPr>
      </w:pPr>
      <w:r w:rsidRPr="009471AE">
        <w:rPr>
          <w:rFonts w:ascii="Times New Roman" w:eastAsia="Times New Roman" w:hAnsi="Times New Roman"/>
          <w:b/>
          <w:sz w:val="28"/>
          <w:szCs w:val="24"/>
          <w:lang w:eastAsia="ru-RU"/>
        </w:rPr>
        <w:t>ОСНОВНИЙ ЗМІСТ РОБОТИ</w:t>
      </w:r>
    </w:p>
    <w:p w:rsidR="009471AE" w:rsidRDefault="009471AE" w:rsidP="002C4675">
      <w:pPr>
        <w:spacing w:after="0" w:line="360" w:lineRule="auto"/>
        <w:ind w:firstLine="708"/>
        <w:jc w:val="both"/>
        <w:rPr>
          <w:rFonts w:ascii="Times New Roman" w:eastAsia="Calibri" w:hAnsi="Times New Roman" w:cs="Times New Roman"/>
          <w:kern w:val="16"/>
          <w:sz w:val="28"/>
          <w:szCs w:val="28"/>
        </w:rPr>
      </w:pPr>
      <w:r w:rsidRPr="009471AE">
        <w:rPr>
          <w:rFonts w:ascii="Times New Roman" w:eastAsia="Calibri" w:hAnsi="Times New Roman" w:cs="Times New Roman"/>
          <w:kern w:val="16"/>
          <w:sz w:val="28"/>
          <w:szCs w:val="28"/>
        </w:rPr>
        <w:t xml:space="preserve">У </w:t>
      </w:r>
      <w:r w:rsidRPr="009471AE">
        <w:rPr>
          <w:rFonts w:ascii="Times New Roman" w:eastAsia="Calibri" w:hAnsi="Times New Roman" w:cs="Times New Roman"/>
          <w:b/>
          <w:kern w:val="16"/>
          <w:sz w:val="28"/>
          <w:szCs w:val="28"/>
        </w:rPr>
        <w:t>вступі</w:t>
      </w:r>
      <w:r w:rsidRPr="009471AE">
        <w:rPr>
          <w:rFonts w:ascii="Times New Roman" w:eastAsia="Calibri" w:hAnsi="Times New Roman" w:cs="Times New Roman"/>
          <w:kern w:val="16"/>
          <w:sz w:val="28"/>
          <w:szCs w:val="28"/>
        </w:rPr>
        <w:t xml:space="preserve"> </w:t>
      </w:r>
      <w:r>
        <w:rPr>
          <w:rFonts w:ascii="Times New Roman" w:eastAsia="Calibri" w:hAnsi="Times New Roman" w:cs="Times New Roman"/>
          <w:kern w:val="16"/>
          <w:sz w:val="28"/>
          <w:szCs w:val="28"/>
        </w:rPr>
        <w:t>обґрунтовано актуальність роботи</w:t>
      </w:r>
      <w:r w:rsidRPr="009471AE">
        <w:rPr>
          <w:rFonts w:ascii="Times New Roman" w:eastAsia="Calibri" w:hAnsi="Times New Roman" w:cs="Times New Roman"/>
          <w:kern w:val="16"/>
          <w:sz w:val="28"/>
          <w:szCs w:val="28"/>
        </w:rPr>
        <w:t>, сформульова</w:t>
      </w:r>
      <w:r>
        <w:rPr>
          <w:rFonts w:ascii="Times New Roman" w:eastAsia="Calibri" w:hAnsi="Times New Roman" w:cs="Times New Roman"/>
          <w:kern w:val="16"/>
          <w:sz w:val="28"/>
          <w:szCs w:val="28"/>
        </w:rPr>
        <w:t>но мету та наукову новизну, а також наведено відомості про їх апробацію.</w:t>
      </w:r>
    </w:p>
    <w:p w:rsidR="00ED5C2B" w:rsidRPr="00357684" w:rsidRDefault="00ED5C2B" w:rsidP="002C4675">
      <w:pPr>
        <w:spacing w:after="0" w:line="360" w:lineRule="auto"/>
        <w:ind w:firstLine="708"/>
        <w:jc w:val="both"/>
        <w:rPr>
          <w:rFonts w:ascii="Times New Roman" w:eastAsia="Calibri" w:hAnsi="Times New Roman" w:cs="Times New Roman"/>
          <w:kern w:val="16"/>
          <w:sz w:val="28"/>
          <w:szCs w:val="28"/>
        </w:rPr>
      </w:pPr>
      <w:r w:rsidRPr="004B5807">
        <w:rPr>
          <w:rFonts w:ascii="Times New Roman" w:eastAsia="Calibri" w:hAnsi="Times New Roman" w:cs="Times New Roman"/>
          <w:kern w:val="16"/>
          <w:sz w:val="28"/>
          <w:szCs w:val="28"/>
        </w:rPr>
        <w:t xml:space="preserve">В </w:t>
      </w:r>
      <w:r w:rsidRPr="00236210">
        <w:rPr>
          <w:rFonts w:ascii="Times New Roman" w:eastAsia="Calibri" w:hAnsi="Times New Roman" w:cs="Times New Roman"/>
          <w:b/>
          <w:kern w:val="16"/>
          <w:sz w:val="28"/>
          <w:szCs w:val="28"/>
        </w:rPr>
        <w:t xml:space="preserve">першому розділі </w:t>
      </w:r>
      <w:r w:rsidRPr="004B5807">
        <w:rPr>
          <w:rFonts w:ascii="Times New Roman" w:eastAsia="Calibri" w:hAnsi="Times New Roman" w:cs="Times New Roman"/>
          <w:kern w:val="16"/>
          <w:sz w:val="28"/>
          <w:szCs w:val="28"/>
        </w:rPr>
        <w:t xml:space="preserve">проаналізовано </w:t>
      </w:r>
      <w:r w:rsidRPr="00357684">
        <w:rPr>
          <w:rFonts w:ascii="Times New Roman" w:eastAsia="Calibri" w:hAnsi="Times New Roman" w:cs="Times New Roman"/>
          <w:kern w:val="16"/>
          <w:sz w:val="28"/>
          <w:szCs w:val="28"/>
        </w:rPr>
        <w:t>динаміку розвитку сучасного</w:t>
      </w:r>
      <w:r w:rsidR="006426E7">
        <w:rPr>
          <w:rFonts w:ascii="Times New Roman" w:eastAsia="Calibri" w:hAnsi="Times New Roman" w:cs="Times New Roman"/>
          <w:kern w:val="16"/>
          <w:sz w:val="28"/>
          <w:szCs w:val="28"/>
        </w:rPr>
        <w:t xml:space="preserve"> деревообробного</w:t>
      </w:r>
      <w:r w:rsidRPr="00357684">
        <w:rPr>
          <w:rFonts w:ascii="Times New Roman" w:eastAsia="Calibri" w:hAnsi="Times New Roman" w:cs="Times New Roman"/>
          <w:kern w:val="16"/>
          <w:sz w:val="28"/>
          <w:szCs w:val="28"/>
        </w:rPr>
        <w:t xml:space="preserve"> господа</w:t>
      </w:r>
      <w:r>
        <w:rPr>
          <w:rFonts w:ascii="Times New Roman" w:eastAsia="Calibri" w:hAnsi="Times New Roman" w:cs="Times New Roman"/>
          <w:kern w:val="16"/>
          <w:sz w:val="28"/>
          <w:szCs w:val="28"/>
        </w:rPr>
        <w:t>рст</w:t>
      </w:r>
      <w:r w:rsidRPr="00357684">
        <w:rPr>
          <w:rFonts w:ascii="Times New Roman" w:eastAsia="Calibri" w:hAnsi="Times New Roman" w:cs="Times New Roman"/>
          <w:kern w:val="16"/>
          <w:sz w:val="28"/>
          <w:szCs w:val="28"/>
        </w:rPr>
        <w:t>ва</w:t>
      </w:r>
      <w:r>
        <w:rPr>
          <w:rFonts w:ascii="Times New Roman" w:eastAsia="Calibri" w:hAnsi="Times New Roman" w:cs="Times New Roman"/>
          <w:kern w:val="16"/>
          <w:sz w:val="28"/>
          <w:szCs w:val="28"/>
        </w:rPr>
        <w:t xml:space="preserve"> в Україні.</w:t>
      </w:r>
      <w:r w:rsidRPr="000B42AE">
        <w:rPr>
          <w:rFonts w:ascii="Times New Roman" w:eastAsia="Calibri" w:hAnsi="Times New Roman" w:cs="Times New Roman"/>
          <w:color w:val="FF0000"/>
          <w:kern w:val="16"/>
          <w:sz w:val="28"/>
          <w:szCs w:val="28"/>
        </w:rPr>
        <w:t xml:space="preserve"> </w:t>
      </w:r>
      <w:r w:rsidRPr="00357684">
        <w:rPr>
          <w:rFonts w:ascii="Times New Roman" w:hAnsi="Times New Roman" w:cs="Times New Roman"/>
          <w:bCs/>
          <w:sz w:val="28"/>
          <w:szCs w:val="28"/>
          <w:shd w:val="clear" w:color="auto" w:fill="FFFFFF"/>
          <w:lang w:eastAsia="uk-UA"/>
        </w:rPr>
        <w:t>Наведена за</w:t>
      </w:r>
      <w:r w:rsidR="006426E7">
        <w:rPr>
          <w:rFonts w:ascii="Times New Roman" w:hAnsi="Times New Roman" w:cs="Times New Roman"/>
          <w:bCs/>
          <w:sz w:val="28"/>
          <w:szCs w:val="28"/>
          <w:shd w:val="clear" w:color="auto" w:fill="FFFFFF"/>
          <w:lang w:eastAsia="uk-UA"/>
        </w:rPr>
        <w:t>гальна характеристика підприємства деревообробної промисловості,</w:t>
      </w:r>
      <w:r w:rsidRPr="00357684">
        <w:rPr>
          <w:rFonts w:ascii="Times New Roman" w:eastAsia="Calibri" w:hAnsi="Times New Roman" w:cs="Times New Roman"/>
          <w:kern w:val="16"/>
          <w:sz w:val="28"/>
          <w:szCs w:val="28"/>
        </w:rPr>
        <w:t xml:space="preserve"> типові графіки добового споживання електричної</w:t>
      </w:r>
      <w:r w:rsidR="006426E7">
        <w:rPr>
          <w:rFonts w:ascii="Times New Roman" w:eastAsia="Calibri" w:hAnsi="Times New Roman" w:cs="Times New Roman"/>
          <w:kern w:val="16"/>
          <w:sz w:val="28"/>
          <w:szCs w:val="28"/>
        </w:rPr>
        <w:t xml:space="preserve"> та теплової</w:t>
      </w:r>
      <w:r w:rsidRPr="00357684">
        <w:rPr>
          <w:rFonts w:ascii="Times New Roman" w:eastAsia="Calibri" w:hAnsi="Times New Roman" w:cs="Times New Roman"/>
          <w:kern w:val="16"/>
          <w:sz w:val="28"/>
          <w:szCs w:val="28"/>
        </w:rPr>
        <w:t xml:space="preserve"> енергії.</w:t>
      </w:r>
    </w:p>
    <w:p w:rsidR="005C7241" w:rsidRDefault="00ED5C2B" w:rsidP="002C4675">
      <w:pPr>
        <w:spacing w:after="0" w:line="360" w:lineRule="auto"/>
        <w:ind w:firstLine="708"/>
        <w:jc w:val="both"/>
        <w:rPr>
          <w:rFonts w:ascii="Times New Roman" w:eastAsia="Calibri" w:hAnsi="Times New Roman" w:cs="Times New Roman"/>
          <w:kern w:val="16"/>
          <w:sz w:val="28"/>
          <w:szCs w:val="28"/>
        </w:rPr>
      </w:pPr>
      <w:r w:rsidRPr="00357684">
        <w:rPr>
          <w:rFonts w:ascii="Times New Roman" w:eastAsia="Times New Roman" w:hAnsi="Times New Roman" w:cs="Times New Roman"/>
          <w:bCs/>
          <w:sz w:val="28"/>
          <w:szCs w:val="28"/>
          <w:lang w:eastAsia="uk-UA"/>
        </w:rPr>
        <w:t xml:space="preserve">З економічної точки зору найбільші затрати на виготовлення одиниці готової продукції на </w:t>
      </w:r>
      <w:r w:rsidR="004C4F3C">
        <w:rPr>
          <w:rFonts w:ascii="Times New Roman" w:eastAsia="Times New Roman" w:hAnsi="Times New Roman" w:cs="Times New Roman"/>
          <w:bCs/>
          <w:sz w:val="28"/>
          <w:szCs w:val="28"/>
          <w:lang w:val="ru-RU" w:eastAsia="uk-UA"/>
        </w:rPr>
        <w:t>п</w:t>
      </w:r>
      <w:proofErr w:type="spellStart"/>
      <w:r w:rsidR="004C4F3C">
        <w:rPr>
          <w:rFonts w:ascii="Times New Roman" w:eastAsia="Times New Roman" w:hAnsi="Times New Roman" w:cs="Times New Roman"/>
          <w:bCs/>
          <w:sz w:val="28"/>
          <w:szCs w:val="28"/>
          <w:lang w:eastAsia="uk-UA"/>
        </w:rPr>
        <w:t>ідприємстві</w:t>
      </w:r>
      <w:proofErr w:type="spellEnd"/>
      <w:r w:rsidR="004C4F3C">
        <w:rPr>
          <w:rFonts w:ascii="Times New Roman" w:eastAsia="Times New Roman" w:hAnsi="Times New Roman" w:cs="Times New Roman"/>
          <w:bCs/>
          <w:sz w:val="28"/>
          <w:szCs w:val="28"/>
          <w:lang w:eastAsia="uk-UA"/>
        </w:rPr>
        <w:t xml:space="preserve"> деревообробної промисловості </w:t>
      </w:r>
      <w:r w:rsidRPr="00357684">
        <w:rPr>
          <w:rFonts w:ascii="Times New Roman" w:eastAsia="Times New Roman" w:hAnsi="Times New Roman" w:cs="Times New Roman"/>
          <w:bCs/>
          <w:sz w:val="28"/>
          <w:szCs w:val="28"/>
          <w:lang w:eastAsia="uk-UA"/>
        </w:rPr>
        <w:t>припадають на</w:t>
      </w:r>
      <w:r w:rsidR="004C4F3C">
        <w:rPr>
          <w:rFonts w:ascii="Times New Roman" w:eastAsia="Times New Roman" w:hAnsi="Times New Roman" w:cs="Times New Roman"/>
          <w:bCs/>
          <w:sz w:val="28"/>
          <w:szCs w:val="28"/>
          <w:lang w:eastAsia="uk-UA"/>
        </w:rPr>
        <w:t xml:space="preserve"> теплову та електричну енергію</w:t>
      </w:r>
      <w:r w:rsidRPr="00357684">
        <w:rPr>
          <w:rFonts w:ascii="Times New Roman" w:eastAsia="Times New Roman" w:hAnsi="Times New Roman" w:cs="Times New Roman"/>
          <w:bCs/>
          <w:sz w:val="28"/>
          <w:szCs w:val="28"/>
          <w:lang w:eastAsia="uk-UA"/>
        </w:rPr>
        <w:t xml:space="preserve">. Застосування сучасних напрямів </w:t>
      </w:r>
      <w:proofErr w:type="spellStart"/>
      <w:r w:rsidRPr="00357684">
        <w:rPr>
          <w:rFonts w:ascii="Times New Roman" w:eastAsia="Times New Roman" w:hAnsi="Times New Roman" w:cs="Times New Roman"/>
          <w:bCs/>
          <w:sz w:val="28"/>
          <w:szCs w:val="28"/>
          <w:lang w:eastAsia="uk-UA"/>
        </w:rPr>
        <w:t>енергоефективного</w:t>
      </w:r>
      <w:proofErr w:type="spellEnd"/>
      <w:r w:rsidRPr="00357684">
        <w:rPr>
          <w:rFonts w:ascii="Times New Roman" w:eastAsia="Times New Roman" w:hAnsi="Times New Roman" w:cs="Times New Roman"/>
          <w:bCs/>
          <w:sz w:val="28"/>
          <w:szCs w:val="28"/>
          <w:lang w:eastAsia="uk-UA"/>
        </w:rPr>
        <w:t xml:space="preserve"> використання енергоресурсів потрібно для того, щоб зменшити собівартість продукції або ж збільшити сукупний валовий прибуток. </w:t>
      </w:r>
      <w:r w:rsidRPr="00357684">
        <w:rPr>
          <w:rFonts w:ascii="Times New Roman" w:hAnsi="Times New Roman"/>
          <w:sz w:val="28"/>
          <w:szCs w:val="28"/>
        </w:rPr>
        <w:t xml:space="preserve">Використання ВДЕ є одним із найбільш важливих напрямів енергетичної політики України, направленої на заощадження традиційних паливно-енергетичних ресурсів та поліпшення стану оточуючого середовища. Тому створення широкого ряду потужностей автономних </w:t>
      </w:r>
      <w:proofErr w:type="spellStart"/>
      <w:r w:rsidRPr="00357684">
        <w:rPr>
          <w:rFonts w:ascii="Times New Roman" w:hAnsi="Times New Roman"/>
          <w:sz w:val="28"/>
          <w:szCs w:val="28"/>
        </w:rPr>
        <w:t>енергоджерел</w:t>
      </w:r>
      <w:proofErr w:type="spellEnd"/>
      <w:r w:rsidRPr="00357684">
        <w:rPr>
          <w:rFonts w:ascii="Times New Roman" w:hAnsi="Times New Roman"/>
          <w:sz w:val="28"/>
          <w:szCs w:val="28"/>
        </w:rPr>
        <w:t xml:space="preserve"> з виробництвом та акумулюванням електричної і теплової енергії забезпечить певний енергетичний резерв в централізованій системі і надійність в даний час, </w:t>
      </w:r>
      <w:r w:rsidRPr="00357684">
        <w:rPr>
          <w:rFonts w:ascii="Times New Roman" w:hAnsi="Times New Roman"/>
          <w:sz w:val="28"/>
          <w:szCs w:val="28"/>
        </w:rPr>
        <w:lastRenderedPageBreak/>
        <w:t xml:space="preserve">а надалі, з розвитком малої енергетики на їх основі, вона буде не тільки альтернативою централізованої системи, але й основою для швидкої побудови, створення і впровадження автономного децентралізованого </w:t>
      </w:r>
      <w:proofErr w:type="spellStart"/>
      <w:r w:rsidRPr="00357684">
        <w:rPr>
          <w:rFonts w:ascii="Times New Roman" w:hAnsi="Times New Roman"/>
          <w:sz w:val="28"/>
          <w:szCs w:val="28"/>
        </w:rPr>
        <w:t>тепло-</w:t>
      </w:r>
      <w:proofErr w:type="spellEnd"/>
      <w:r w:rsidRPr="00357684">
        <w:rPr>
          <w:rFonts w:ascii="Times New Roman" w:hAnsi="Times New Roman"/>
          <w:sz w:val="28"/>
          <w:szCs w:val="28"/>
        </w:rPr>
        <w:t xml:space="preserve"> та електропостачання в мі</w:t>
      </w:r>
      <w:r w:rsidR="004C4F3C">
        <w:rPr>
          <w:rFonts w:ascii="Times New Roman" w:hAnsi="Times New Roman"/>
          <w:sz w:val="28"/>
          <w:szCs w:val="28"/>
        </w:rPr>
        <w:t>сцях</w:t>
      </w:r>
      <w:r w:rsidRPr="00357684">
        <w:rPr>
          <w:rFonts w:ascii="Times New Roman" w:hAnsi="Times New Roman"/>
          <w:sz w:val="28"/>
          <w:szCs w:val="28"/>
        </w:rPr>
        <w:t xml:space="preserve"> віддалених від центрального енергопостачання.</w:t>
      </w:r>
    </w:p>
    <w:p w:rsidR="007E3B4B" w:rsidRDefault="00943A3F" w:rsidP="002C4675">
      <w:pPr>
        <w:spacing w:after="0" w:line="360" w:lineRule="auto"/>
        <w:ind w:firstLine="708"/>
        <w:jc w:val="both"/>
        <w:rPr>
          <w:rFonts w:ascii="Times New Roman" w:eastAsia="Calibri" w:hAnsi="Times New Roman" w:cs="Times New Roman"/>
          <w:kern w:val="16"/>
          <w:sz w:val="28"/>
          <w:szCs w:val="28"/>
        </w:rPr>
      </w:pPr>
      <w:r w:rsidRPr="009471AE">
        <w:rPr>
          <w:rFonts w:ascii="Times New Roman" w:eastAsia="Calibri" w:hAnsi="Times New Roman" w:cs="Times New Roman"/>
          <w:kern w:val="16"/>
          <w:sz w:val="28"/>
          <w:szCs w:val="28"/>
        </w:rPr>
        <w:t xml:space="preserve">В </w:t>
      </w:r>
      <w:r>
        <w:rPr>
          <w:rFonts w:ascii="Times New Roman" w:eastAsia="Calibri" w:hAnsi="Times New Roman" w:cs="Times New Roman"/>
          <w:b/>
          <w:kern w:val="16"/>
          <w:sz w:val="28"/>
          <w:szCs w:val="28"/>
        </w:rPr>
        <w:t>другому</w:t>
      </w:r>
      <w:r w:rsidRPr="009471AE">
        <w:rPr>
          <w:rFonts w:ascii="Times New Roman" w:eastAsia="Calibri" w:hAnsi="Times New Roman" w:cs="Times New Roman"/>
          <w:b/>
          <w:kern w:val="16"/>
          <w:sz w:val="28"/>
          <w:szCs w:val="28"/>
        </w:rPr>
        <w:t xml:space="preserve"> розділі</w:t>
      </w:r>
      <w:r>
        <w:rPr>
          <w:rFonts w:ascii="Times New Roman" w:eastAsia="Calibri" w:hAnsi="Times New Roman" w:cs="Times New Roman"/>
          <w:kern w:val="16"/>
          <w:sz w:val="28"/>
          <w:szCs w:val="28"/>
        </w:rPr>
        <w:t xml:space="preserve"> </w:t>
      </w:r>
      <w:r w:rsidR="007E3B4B">
        <w:rPr>
          <w:rFonts w:ascii="Times New Roman" w:eastAsia="Calibri" w:hAnsi="Times New Roman" w:cs="Times New Roman"/>
          <w:kern w:val="16"/>
          <w:sz w:val="28"/>
          <w:szCs w:val="28"/>
        </w:rPr>
        <w:t>приведені</w:t>
      </w:r>
      <w:r w:rsidR="007E3B4B" w:rsidRPr="007051C1">
        <w:rPr>
          <w:rFonts w:ascii="Times New Roman" w:hAnsi="Times New Roman"/>
          <w:sz w:val="28"/>
          <w:szCs w:val="28"/>
        </w:rPr>
        <w:t xml:space="preserve"> практичні аспекти застосування схем розрахунку оцінок техніко-економічних показників </w:t>
      </w:r>
      <w:proofErr w:type="spellStart"/>
      <w:r w:rsidR="007E3B4B" w:rsidRPr="007051C1">
        <w:rPr>
          <w:rFonts w:ascii="Times New Roman" w:hAnsi="Times New Roman"/>
          <w:sz w:val="28"/>
          <w:szCs w:val="28"/>
        </w:rPr>
        <w:t>електрогенерувальних</w:t>
      </w:r>
      <w:proofErr w:type="spellEnd"/>
      <w:r w:rsidR="007E3B4B" w:rsidRPr="007051C1">
        <w:rPr>
          <w:rFonts w:ascii="Times New Roman" w:hAnsi="Times New Roman"/>
          <w:sz w:val="28"/>
          <w:szCs w:val="28"/>
        </w:rPr>
        <w:t xml:space="preserve"> устав з відновлюваними джерелами енергії за принципом середньозваженої (нормованої) ціни виробництва </w:t>
      </w:r>
      <w:r w:rsidR="007E3B4B" w:rsidRPr="007051C1">
        <w:rPr>
          <w:rFonts w:ascii="Times New Roman" w:hAnsi="Times New Roman"/>
          <w:sz w:val="28"/>
          <w:szCs w:val="28"/>
          <w:lang w:eastAsia="ar-SA"/>
        </w:rPr>
        <w:t xml:space="preserve">(фактично, середньозваженої собівартості – </w:t>
      </w:r>
      <w:proofErr w:type="spellStart"/>
      <w:r w:rsidR="007E3B4B" w:rsidRPr="007051C1">
        <w:rPr>
          <w:rFonts w:ascii="Times New Roman" w:hAnsi="Times New Roman"/>
          <w:i/>
          <w:sz w:val="28"/>
          <w:szCs w:val="28"/>
          <w:lang w:eastAsia="ar-SA"/>
        </w:rPr>
        <w:t>Levelised</w:t>
      </w:r>
      <w:proofErr w:type="spellEnd"/>
      <w:r w:rsidR="007E3B4B" w:rsidRPr="007051C1">
        <w:rPr>
          <w:rFonts w:ascii="Times New Roman" w:hAnsi="Times New Roman"/>
          <w:i/>
          <w:sz w:val="28"/>
          <w:szCs w:val="28"/>
          <w:lang w:eastAsia="ar-SA"/>
        </w:rPr>
        <w:t xml:space="preserve"> </w:t>
      </w:r>
      <w:proofErr w:type="spellStart"/>
      <w:r w:rsidR="007E3B4B" w:rsidRPr="007051C1">
        <w:rPr>
          <w:rFonts w:ascii="Times New Roman" w:hAnsi="Times New Roman"/>
          <w:i/>
          <w:sz w:val="28"/>
          <w:szCs w:val="28"/>
          <w:lang w:eastAsia="ar-SA"/>
        </w:rPr>
        <w:t>Energy</w:t>
      </w:r>
      <w:proofErr w:type="spellEnd"/>
      <w:r w:rsidR="007E3B4B" w:rsidRPr="007051C1">
        <w:rPr>
          <w:rFonts w:ascii="Times New Roman" w:hAnsi="Times New Roman"/>
          <w:i/>
          <w:sz w:val="28"/>
          <w:szCs w:val="28"/>
          <w:lang w:eastAsia="ar-SA"/>
        </w:rPr>
        <w:t xml:space="preserve"> </w:t>
      </w:r>
      <w:proofErr w:type="spellStart"/>
      <w:r w:rsidR="007E3B4B" w:rsidRPr="007051C1">
        <w:rPr>
          <w:rFonts w:ascii="Times New Roman" w:hAnsi="Times New Roman"/>
          <w:i/>
          <w:sz w:val="28"/>
          <w:szCs w:val="28"/>
          <w:lang w:eastAsia="ar-SA"/>
        </w:rPr>
        <w:t>Cost</w:t>
      </w:r>
      <w:proofErr w:type="spellEnd"/>
      <w:r w:rsidR="007E3B4B">
        <w:rPr>
          <w:rFonts w:ascii="Times New Roman" w:hAnsi="Times New Roman"/>
          <w:sz w:val="28"/>
          <w:szCs w:val="28"/>
          <w:lang w:eastAsia="ar-SA"/>
        </w:rPr>
        <w:t xml:space="preserve">) </w:t>
      </w:r>
      <w:r w:rsidR="007E3B4B" w:rsidRPr="007051C1">
        <w:rPr>
          <w:rFonts w:ascii="Times New Roman" w:hAnsi="Times New Roman"/>
          <w:sz w:val="28"/>
          <w:szCs w:val="28"/>
        </w:rPr>
        <w:t>– для умов їх функціонування, передбачених українським законодавством.</w:t>
      </w:r>
    </w:p>
    <w:p w:rsidR="00BD46C2" w:rsidRPr="00BD46C2" w:rsidRDefault="00EF37DE" w:rsidP="002C46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моделях використано</w:t>
      </w:r>
      <w:r w:rsidR="00BD46C2" w:rsidRPr="00BD46C2">
        <w:rPr>
          <w:rFonts w:ascii="Times New Roman" w:hAnsi="Times New Roman" w:cs="Times New Roman"/>
          <w:sz w:val="28"/>
          <w:szCs w:val="28"/>
        </w:rPr>
        <w:t xml:space="preserve"> такі терміни для позначення вартості грошей і, відповідно, цін: </w:t>
      </w:r>
      <w:r w:rsidR="00BD46C2" w:rsidRPr="00BD46C2">
        <w:rPr>
          <w:rFonts w:ascii="Times New Roman" w:hAnsi="Times New Roman" w:cs="Times New Roman"/>
          <w:i/>
          <w:sz w:val="28"/>
          <w:szCs w:val="28"/>
        </w:rPr>
        <w:t xml:space="preserve">дійсні </w:t>
      </w:r>
      <w:r w:rsidR="00BD46C2" w:rsidRPr="00BD46C2">
        <w:rPr>
          <w:rFonts w:ascii="Times New Roman" w:hAnsi="Times New Roman" w:cs="Times New Roman"/>
          <w:sz w:val="28"/>
          <w:szCs w:val="28"/>
        </w:rPr>
        <w:t xml:space="preserve">і </w:t>
      </w:r>
      <w:r w:rsidR="00BD46C2" w:rsidRPr="00BD46C2">
        <w:rPr>
          <w:rFonts w:ascii="Times New Roman" w:hAnsi="Times New Roman" w:cs="Times New Roman"/>
          <w:i/>
          <w:sz w:val="28"/>
          <w:szCs w:val="28"/>
        </w:rPr>
        <w:t>номінальні</w:t>
      </w:r>
      <w:r w:rsidR="00BD46C2" w:rsidRPr="00BD46C2">
        <w:rPr>
          <w:rFonts w:ascii="Times New Roman" w:hAnsi="Times New Roman" w:cs="Times New Roman"/>
          <w:sz w:val="28"/>
          <w:szCs w:val="28"/>
        </w:rPr>
        <w:t>. «Дійсні» відображають реальну поточну спроможність (силу) грошових потоків у незмінній (фіксованій) валюті. «Номінальні» – враховують підвищення цін на товари і послуги в часі, тобто цінову «ескалацію». Дійсні відсоткові ставки ніколи «не спостерігаються» – вони визначаються на підставі співвідношення:</w:t>
      </w:r>
    </w:p>
    <w:p w:rsidR="00BD46C2" w:rsidRPr="00BD46C2" w:rsidRDefault="00CA370C" w:rsidP="00BD46C2">
      <w:pPr>
        <w:pStyle w:val="ZvTxt"/>
        <w:ind w:firstLine="0"/>
        <w:jc w:val="right"/>
        <w:rPr>
          <w:sz w:val="28"/>
          <w:szCs w:val="28"/>
        </w:rPr>
      </w:pPr>
      <w:r w:rsidRPr="00BD46C2">
        <w:rPr>
          <w:position w:val="-12"/>
          <w:sz w:val="28"/>
          <w:szCs w:val="28"/>
        </w:rPr>
        <w:object w:dxaOrig="2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8.4pt" o:ole="">
            <v:imagedata r:id="rId10" o:title=""/>
          </v:shape>
          <o:OLEObject Type="Embed" ProgID="Equation.DSMT4" ShapeID="_x0000_i1025" DrawAspect="Content" ObjectID="_1527400150" r:id="rId11"/>
        </w:object>
      </w:r>
      <w:r w:rsidR="00BD46C2" w:rsidRPr="00BD46C2">
        <w:rPr>
          <w:sz w:val="28"/>
          <w:szCs w:val="28"/>
        </w:rPr>
        <w:t>,</w:t>
      </w:r>
      <w:r w:rsidR="00BD46C2" w:rsidRPr="00BD46C2">
        <w:rPr>
          <w:sz w:val="28"/>
          <w:szCs w:val="28"/>
        </w:rPr>
        <w:tab/>
      </w:r>
      <w:r w:rsidR="00BD46C2" w:rsidRPr="00BD46C2">
        <w:rPr>
          <w:sz w:val="28"/>
          <w:szCs w:val="28"/>
        </w:rPr>
        <w:tab/>
      </w:r>
      <w:r w:rsidR="00BD46C2" w:rsidRPr="00BD46C2">
        <w:rPr>
          <w:sz w:val="28"/>
          <w:szCs w:val="28"/>
        </w:rPr>
        <w:tab/>
      </w:r>
      <w:r w:rsidR="00BD46C2" w:rsidRPr="00BD46C2">
        <w:rPr>
          <w:sz w:val="28"/>
          <w:szCs w:val="28"/>
        </w:rPr>
        <w:tab/>
      </w:r>
      <w:r w:rsidR="00BD46C2" w:rsidRPr="00BD46C2">
        <w:rPr>
          <w:sz w:val="28"/>
          <w:szCs w:val="28"/>
        </w:rPr>
        <w:tab/>
        <w:t>(1)</w:t>
      </w:r>
    </w:p>
    <w:p w:rsidR="00BD46C2" w:rsidRPr="00BD46C2" w:rsidRDefault="00BD46C2" w:rsidP="00BD46C2">
      <w:pPr>
        <w:pStyle w:val="ZvTxt"/>
        <w:ind w:firstLine="0"/>
        <w:rPr>
          <w:sz w:val="28"/>
          <w:szCs w:val="28"/>
        </w:rPr>
      </w:pPr>
      <w:r w:rsidRPr="00BD46C2">
        <w:rPr>
          <w:sz w:val="28"/>
          <w:szCs w:val="28"/>
        </w:rPr>
        <w:t xml:space="preserve">де застосовані позначення: </w:t>
      </w:r>
      <w:r w:rsidRPr="00BD46C2">
        <w:rPr>
          <w:i/>
          <w:sz w:val="28"/>
          <w:szCs w:val="28"/>
        </w:rPr>
        <w:t>R</w:t>
      </w:r>
      <w:r w:rsidRPr="00BD46C2">
        <w:rPr>
          <w:sz w:val="28"/>
          <w:szCs w:val="28"/>
        </w:rPr>
        <w:t xml:space="preserve">,% – номінальна ставка (дисконт, або середня кредитна ставка, за якою банківська установа може надати позику), </w:t>
      </w:r>
      <w:r w:rsidRPr="00BD46C2">
        <w:rPr>
          <w:i/>
          <w:sz w:val="28"/>
          <w:szCs w:val="28"/>
        </w:rPr>
        <w:t xml:space="preserve">r </w:t>
      </w:r>
      <w:r w:rsidRPr="00BD46C2">
        <w:rPr>
          <w:sz w:val="28"/>
          <w:szCs w:val="28"/>
        </w:rPr>
        <w:t xml:space="preserve">– дійсна чи фіксована ставка, </w:t>
      </w:r>
      <w:r w:rsidRPr="00BD46C2">
        <w:rPr>
          <w:i/>
          <w:sz w:val="28"/>
          <w:szCs w:val="28"/>
        </w:rPr>
        <w:t>і</w:t>
      </w:r>
      <w:r w:rsidRPr="00BD46C2">
        <w:rPr>
          <w:sz w:val="28"/>
          <w:szCs w:val="28"/>
        </w:rPr>
        <w:t>,%</w:t>
      </w:r>
      <w:r w:rsidRPr="00BD46C2">
        <w:rPr>
          <w:i/>
          <w:sz w:val="28"/>
          <w:szCs w:val="28"/>
        </w:rPr>
        <w:t xml:space="preserve"> </w:t>
      </w:r>
      <w:r w:rsidRPr="00BD46C2">
        <w:rPr>
          <w:sz w:val="28"/>
          <w:szCs w:val="28"/>
        </w:rPr>
        <w:t>– показник ескалації цін (або ж темп інфляції, зумовлений зростанням споживчих цін і/або цін промислових виробників – у подальшому «інфляція»). Значення ставок у виразі (1) обчислюють у відносних одиницях, задають у %.</w:t>
      </w:r>
    </w:p>
    <w:p w:rsidR="00BD46C2" w:rsidRPr="00BD46C2" w:rsidRDefault="00BD46C2" w:rsidP="002C4675">
      <w:pPr>
        <w:pStyle w:val="a7"/>
        <w:spacing w:line="360" w:lineRule="auto"/>
        <w:ind w:firstLine="708"/>
      </w:pPr>
      <w:r w:rsidRPr="00BD46C2">
        <w:t xml:space="preserve">Середньозважену собівартість виробленої енергії </w:t>
      </w:r>
      <w:r w:rsidRPr="00BD46C2">
        <w:rPr>
          <w:i/>
          <w:lang w:val="en-US"/>
        </w:rPr>
        <w:t>LCOE</w:t>
      </w:r>
      <w:r w:rsidRPr="00BD46C2">
        <w:t xml:space="preserve"> (</w:t>
      </w:r>
      <w:r w:rsidRPr="00BD46C2">
        <w:rPr>
          <w:i/>
        </w:rPr>
        <w:t>L</w:t>
      </w:r>
      <w:r w:rsidRPr="00BD46C2">
        <w:rPr>
          <w:i/>
          <w:vertAlign w:val="subscript"/>
        </w:rPr>
        <w:t>COE</w:t>
      </w:r>
      <w:r w:rsidRPr="00BD46C2">
        <w:t>)</w:t>
      </w:r>
      <w:r w:rsidRPr="00BD46C2">
        <w:rPr>
          <w:vertAlign w:val="subscript"/>
        </w:rPr>
        <w:t xml:space="preserve"> </w:t>
      </w:r>
      <w:r w:rsidRPr="00BD46C2">
        <w:t xml:space="preserve">визначають в термінах поточної (фіксованої на дату приведення) вартості грошей </w:t>
      </w:r>
      <w:r w:rsidRPr="00BD46C2">
        <w:rPr>
          <w:i/>
          <w:lang w:val="en-US"/>
        </w:rPr>
        <w:t>PV</w:t>
      </w:r>
      <w:r w:rsidRPr="00BD46C2">
        <w:t xml:space="preserve"> (</w:t>
      </w:r>
      <w:r w:rsidRPr="00BD46C2">
        <w:rPr>
          <w:i/>
          <w:lang w:val="en-US"/>
        </w:rPr>
        <w:t>Present</w:t>
      </w:r>
      <w:r w:rsidRPr="00BD46C2">
        <w:rPr>
          <w:i/>
        </w:rPr>
        <w:t xml:space="preserve"> </w:t>
      </w:r>
      <w:r w:rsidRPr="00BD46C2">
        <w:rPr>
          <w:i/>
          <w:lang w:val="en-US"/>
        </w:rPr>
        <w:t>Value</w:t>
      </w:r>
      <w:r w:rsidRPr="00BD46C2">
        <w:t xml:space="preserve">) для номінального значення потужності </w:t>
      </w:r>
      <w:r w:rsidRPr="00BD46C2">
        <w:rPr>
          <w:i/>
          <w:lang w:val="en-US"/>
        </w:rPr>
        <w:t>GW</w:t>
      </w:r>
      <w:r w:rsidRPr="00BD46C2">
        <w:t xml:space="preserve"> </w:t>
      </w:r>
      <w:proofErr w:type="spellStart"/>
      <w:r w:rsidRPr="00BD46C2">
        <w:t>енергоустави</w:t>
      </w:r>
      <w:proofErr w:type="spellEnd"/>
      <w:r w:rsidRPr="00BD46C2">
        <w:t xml:space="preserve"> з урахуванням розрахункових значень коефіцієнта використання встановленої потужності </w:t>
      </w:r>
      <w:r w:rsidR="0065311C" w:rsidRPr="00BD46C2">
        <w:rPr>
          <w:position w:val="-16"/>
        </w:rPr>
        <w:object w:dxaOrig="380" w:dyaOrig="420">
          <v:shape id="_x0000_i1026" type="#_x0000_t75" style="width:18.4pt;height:21.75pt" o:ole="">
            <v:imagedata r:id="rId12" o:title=""/>
          </v:shape>
          <o:OLEObject Type="Embed" ProgID="Equation.DSMT4" ShapeID="_x0000_i1026" DrawAspect="Content" ObjectID="_1527400151" r:id="rId13"/>
        </w:object>
      </w:r>
      <w:r w:rsidRPr="00BD46C2">
        <w:t xml:space="preserve"> (КВВП) для кожного планового року </w:t>
      </w:r>
      <w:r w:rsidRPr="00BD46C2">
        <w:rPr>
          <w:i/>
          <w:lang w:val="en-US"/>
        </w:rPr>
        <w:t>t</w:t>
      </w:r>
      <w:r w:rsidRPr="00BD46C2">
        <w:t>:</w:t>
      </w:r>
      <w:r w:rsidRPr="00BD46C2">
        <w:rPr>
          <w:position w:val="-6"/>
        </w:rPr>
        <w:object w:dxaOrig="380" w:dyaOrig="260">
          <v:shape id="_x0000_i1027" type="#_x0000_t75" style="width:18.4pt;height:12.55pt" o:ole="">
            <v:imagedata r:id="rId14" o:title=""/>
          </v:shape>
          <o:OLEObject Type="Embed" ProgID="Equation.3" ShapeID="_x0000_i1027" DrawAspect="Content" ObjectID="_1527400152" r:id="rId15"/>
        </w:object>
      </w:r>
      <w:r w:rsidRPr="00BD46C2">
        <w:rPr>
          <w:lang w:eastAsia="ar-SA"/>
        </w:rPr>
        <w:t xml:space="preserve">τ </w:t>
      </w:r>
      <w:r w:rsidRPr="00BD46C2">
        <w:t xml:space="preserve">експлуатації об’єкта </w:t>
      </w:r>
      <w:proofErr w:type="spellStart"/>
      <w:r w:rsidRPr="00BD46C2">
        <w:t>електрогенерації</w:t>
      </w:r>
      <w:proofErr w:type="spellEnd"/>
      <w:r w:rsidRPr="00BD46C2">
        <w:t xml:space="preserve">. Для цього розглядають рівняння балансу сумарних </w:t>
      </w:r>
      <w:r w:rsidRPr="00BD46C2">
        <w:lastRenderedPageBreak/>
        <w:t xml:space="preserve">приведених грошових потоків надходжень і витрат, записане для розрахункового (прогнозного) терміну експлуатації тривалістю </w:t>
      </w:r>
      <w:r w:rsidRPr="00BD46C2">
        <w:rPr>
          <w:i/>
          <w:lang w:val="en-US"/>
        </w:rPr>
        <w:t>n</w:t>
      </w:r>
      <w:r w:rsidRPr="00BD46C2">
        <w:t xml:space="preserve"> років:</w:t>
      </w:r>
    </w:p>
    <w:p w:rsidR="00BD46C2" w:rsidRPr="00BD46C2" w:rsidRDefault="00BD46C2" w:rsidP="00BD46C2">
      <w:pPr>
        <w:pStyle w:val="a7"/>
        <w:spacing w:line="360" w:lineRule="auto"/>
        <w:ind w:firstLine="709"/>
        <w:jc w:val="right"/>
      </w:pPr>
      <w:r w:rsidRPr="00BD46C2">
        <w:rPr>
          <w:position w:val="-12"/>
        </w:rPr>
        <w:object w:dxaOrig="2700" w:dyaOrig="440">
          <v:shape id="_x0000_i1028" type="#_x0000_t75" style="width:133.95pt;height:21.75pt" o:ole="">
            <v:imagedata r:id="rId16" o:title=""/>
          </v:shape>
          <o:OLEObject Type="Embed" ProgID="Equation.DSMT4" ShapeID="_x0000_i1028" DrawAspect="Content" ObjectID="_1527400153" r:id="rId17"/>
        </w:object>
      </w:r>
      <w:r w:rsidRPr="00BD46C2">
        <w:t>.</w:t>
      </w:r>
      <w:r w:rsidRPr="00BD46C2">
        <w:tab/>
      </w:r>
      <w:r w:rsidRPr="00BD46C2">
        <w:tab/>
      </w:r>
      <w:r w:rsidRPr="00BD46C2">
        <w:tab/>
      </w:r>
      <w:r w:rsidRPr="00BD46C2">
        <w:tab/>
      </w:r>
      <w:r w:rsidRPr="00BD46C2">
        <w:tab/>
        <w:t>(2)</w:t>
      </w:r>
    </w:p>
    <w:p w:rsidR="00BD46C2" w:rsidRPr="001A0427" w:rsidRDefault="00BD46C2" w:rsidP="002C4675">
      <w:pPr>
        <w:pStyle w:val="ZvTxt"/>
        <w:ind w:firstLine="708"/>
      </w:pPr>
      <w:r w:rsidRPr="00BD46C2">
        <w:rPr>
          <w:sz w:val="28"/>
          <w:szCs w:val="28"/>
        </w:rPr>
        <w:t xml:space="preserve">Розрізняють три окремі визначення оцінок нормованої ціни, які однаково успішно застосовують для побудови моделей за </w:t>
      </w:r>
      <w:r w:rsidRPr="008E5A0B">
        <w:rPr>
          <w:sz w:val="28"/>
          <w:szCs w:val="28"/>
        </w:rPr>
        <w:t xml:space="preserve">схемою </w:t>
      </w:r>
      <w:r w:rsidRPr="008E5A0B">
        <w:rPr>
          <w:i/>
          <w:sz w:val="28"/>
          <w:szCs w:val="28"/>
        </w:rPr>
        <w:t>LCOE</w:t>
      </w:r>
      <w:r w:rsidR="00324D30" w:rsidRPr="008E5A0B">
        <w:rPr>
          <w:i/>
          <w:sz w:val="28"/>
          <w:szCs w:val="28"/>
        </w:rPr>
        <w:t xml:space="preserve">. </w:t>
      </w:r>
      <w:r w:rsidR="00324D30" w:rsidRPr="008E5A0B">
        <w:rPr>
          <w:sz w:val="28"/>
          <w:szCs w:val="28"/>
        </w:rPr>
        <w:t>У ць</w:t>
      </w:r>
      <w:r w:rsidR="00170B3E">
        <w:rPr>
          <w:sz w:val="28"/>
          <w:szCs w:val="28"/>
        </w:rPr>
        <w:t>о</w:t>
      </w:r>
      <w:r w:rsidR="00324D30" w:rsidRPr="008E5A0B">
        <w:rPr>
          <w:sz w:val="28"/>
          <w:szCs w:val="28"/>
        </w:rPr>
        <w:t>му дослідженні використано</w:t>
      </w:r>
      <w:r w:rsidR="008E5A0B" w:rsidRPr="008E5A0B">
        <w:rPr>
          <w:sz w:val="28"/>
          <w:szCs w:val="28"/>
        </w:rPr>
        <w:t xml:space="preserve"> </w:t>
      </w:r>
      <w:r w:rsidRPr="00236210">
        <w:rPr>
          <w:sz w:val="28"/>
          <w:szCs w:val="28"/>
        </w:rPr>
        <w:t>оцінк</w:t>
      </w:r>
      <w:r w:rsidR="00324D30" w:rsidRPr="00236210">
        <w:rPr>
          <w:sz w:val="28"/>
          <w:szCs w:val="28"/>
        </w:rPr>
        <w:t>у</w:t>
      </w:r>
      <w:r w:rsidRPr="00236210">
        <w:rPr>
          <w:i/>
          <w:sz w:val="28"/>
          <w:szCs w:val="28"/>
        </w:rPr>
        <w:t xml:space="preserve"> номінальної</w:t>
      </w:r>
      <w:r w:rsidRPr="00236210">
        <w:rPr>
          <w:sz w:val="28"/>
          <w:szCs w:val="28"/>
        </w:rPr>
        <w:t xml:space="preserve"> нормованої ціни, отриманої на основі фіксованої </w:t>
      </w:r>
      <w:r w:rsidRPr="00236210">
        <w:rPr>
          <w:i/>
          <w:sz w:val="28"/>
          <w:szCs w:val="28"/>
        </w:rPr>
        <w:t>дійсної</w:t>
      </w:r>
      <w:r w:rsidRPr="00236210">
        <w:rPr>
          <w:sz w:val="28"/>
          <w:szCs w:val="28"/>
        </w:rPr>
        <w:t xml:space="preserve"> з урахуванням дії інфляційних чинників. Для її розрахунку поточні</w:t>
      </w:r>
      <w:r w:rsidRPr="00BD46C2">
        <w:t xml:space="preserve"> </w:t>
      </w:r>
      <w:r w:rsidRPr="00236210">
        <w:rPr>
          <w:sz w:val="28"/>
          <w:szCs w:val="28"/>
        </w:rPr>
        <w:t xml:space="preserve">експлуатаційні витрати </w:t>
      </w:r>
      <w:r w:rsidRPr="00733F8E">
        <w:rPr>
          <w:position w:val="-12"/>
          <w:sz w:val="28"/>
          <w:szCs w:val="28"/>
        </w:rPr>
        <w:object w:dxaOrig="700" w:dyaOrig="420">
          <v:shape id="_x0000_i1029" type="#_x0000_t75" style="width:35.15pt;height:21.75pt" o:ole="">
            <v:imagedata r:id="rId18" o:title=""/>
          </v:shape>
          <o:OLEObject Type="Embed" ProgID="Equation.DSMT4" ShapeID="_x0000_i1029" DrawAspect="Content" ObjectID="_1527400154" r:id="rId19"/>
        </w:object>
      </w:r>
      <w:r w:rsidRPr="00236210">
        <w:rPr>
          <w:i/>
          <w:iCs/>
          <w:sz w:val="28"/>
          <w:szCs w:val="28"/>
        </w:rPr>
        <w:t xml:space="preserve"> </w:t>
      </w:r>
      <w:r w:rsidRPr="00236210">
        <w:rPr>
          <w:sz w:val="28"/>
          <w:szCs w:val="28"/>
        </w:rPr>
        <w:t xml:space="preserve">враховують з показником річної інфляції </w:t>
      </w:r>
      <w:r w:rsidRPr="00236210">
        <w:rPr>
          <w:i/>
          <w:sz w:val="28"/>
          <w:szCs w:val="28"/>
        </w:rPr>
        <w:t>і</w:t>
      </w:r>
      <w:r w:rsidRPr="00236210">
        <w:rPr>
          <w:sz w:val="28"/>
          <w:szCs w:val="28"/>
        </w:rPr>
        <w:t xml:space="preserve"> ≠0 в термінах номінальної вартості грошей:</w:t>
      </w:r>
    </w:p>
    <w:p w:rsidR="00BD46C2" w:rsidRPr="008E5A0B" w:rsidRDefault="00BD46C2" w:rsidP="00BD46C2">
      <w:pPr>
        <w:pStyle w:val="ZvTxt"/>
        <w:ind w:firstLine="0"/>
        <w:jc w:val="right"/>
        <w:rPr>
          <w:sz w:val="28"/>
          <w:szCs w:val="28"/>
          <w:lang w:val="ru-RU"/>
        </w:rPr>
      </w:pPr>
      <w:r w:rsidRPr="00733F8E">
        <w:rPr>
          <w:position w:val="-14"/>
          <w:sz w:val="28"/>
          <w:szCs w:val="28"/>
        </w:rPr>
        <w:object w:dxaOrig="1939" w:dyaOrig="480">
          <v:shape id="_x0000_i1030" type="#_x0000_t75" style="width:95.45pt;height:24.3pt" o:ole="">
            <v:imagedata r:id="rId20" o:title=""/>
          </v:shape>
          <o:OLEObject Type="Embed" ProgID="Equation.DSMT4" ShapeID="_x0000_i1030" DrawAspect="Content" ObjectID="_1527400155" r:id="rId21"/>
        </w:object>
      </w:r>
      <w:r w:rsidRPr="008E5A0B">
        <w:rPr>
          <w:sz w:val="28"/>
          <w:szCs w:val="28"/>
          <w:lang w:val="ru-RU"/>
        </w:rPr>
        <w:t xml:space="preserve">, </w:t>
      </w:r>
      <w:r w:rsidRPr="008E5A0B">
        <w:rPr>
          <w:sz w:val="28"/>
          <w:szCs w:val="28"/>
          <w:lang w:val="ru-RU"/>
        </w:rPr>
        <w:tab/>
      </w:r>
      <w:r w:rsidRPr="008E5A0B">
        <w:rPr>
          <w:sz w:val="28"/>
          <w:szCs w:val="28"/>
          <w:lang w:val="ru-RU"/>
        </w:rPr>
        <w:tab/>
      </w:r>
      <w:r w:rsidRPr="008E5A0B">
        <w:rPr>
          <w:sz w:val="28"/>
          <w:szCs w:val="28"/>
          <w:lang w:val="ru-RU"/>
        </w:rPr>
        <w:tab/>
      </w:r>
      <w:r w:rsidRPr="008E5A0B">
        <w:rPr>
          <w:sz w:val="28"/>
          <w:szCs w:val="28"/>
          <w:lang w:val="ru-RU"/>
        </w:rPr>
        <w:tab/>
      </w:r>
      <w:r w:rsidRPr="008E5A0B">
        <w:rPr>
          <w:sz w:val="28"/>
          <w:szCs w:val="28"/>
          <w:lang w:val="ru-RU"/>
        </w:rPr>
        <w:tab/>
        <w:t>(</w:t>
      </w:r>
      <w:r w:rsidR="008E5A0B">
        <w:rPr>
          <w:sz w:val="28"/>
          <w:szCs w:val="28"/>
          <w:lang w:val="ru-RU"/>
        </w:rPr>
        <w:t>3</w:t>
      </w:r>
      <w:r w:rsidRPr="008E5A0B">
        <w:rPr>
          <w:sz w:val="28"/>
          <w:szCs w:val="28"/>
          <w:lang w:val="ru-RU"/>
        </w:rPr>
        <w:t>)</w:t>
      </w:r>
    </w:p>
    <w:p w:rsidR="00BD46C2" w:rsidRPr="008E5A0B" w:rsidRDefault="00BD46C2" w:rsidP="006426E7">
      <w:pPr>
        <w:pStyle w:val="ZvTxt"/>
        <w:ind w:firstLine="708"/>
        <w:rPr>
          <w:sz w:val="28"/>
          <w:szCs w:val="28"/>
        </w:rPr>
      </w:pPr>
      <w:r w:rsidRPr="008E5A0B">
        <w:rPr>
          <w:sz w:val="28"/>
          <w:szCs w:val="28"/>
        </w:rPr>
        <w:t>Значення нормованої ціни для випадку врахування явища поступової деградації продуктивності установки (ефективну потужність диференційовано по рокам) обчислюють безпосередньо за виразом</w:t>
      </w:r>
      <w:r w:rsidR="008E5A0B">
        <w:rPr>
          <w:sz w:val="28"/>
          <w:szCs w:val="28"/>
        </w:rPr>
        <w:t>:</w:t>
      </w:r>
    </w:p>
    <w:p w:rsidR="00BD46C2" w:rsidRPr="001716AB" w:rsidRDefault="00BD46C2" w:rsidP="0065311C">
      <w:pPr>
        <w:pStyle w:val="ZvTxt"/>
        <w:ind w:firstLine="0"/>
        <w:jc w:val="right"/>
        <w:rPr>
          <w:sz w:val="28"/>
          <w:szCs w:val="28"/>
        </w:rPr>
      </w:pPr>
      <w:r w:rsidRPr="00BD46C2">
        <w:rPr>
          <w:position w:val="-40"/>
          <w:sz w:val="28"/>
          <w:szCs w:val="28"/>
        </w:rPr>
        <w:object w:dxaOrig="3640" w:dyaOrig="880">
          <v:shape id="_x0000_i1031" type="#_x0000_t75" style="width:182.5pt;height:44.35pt" o:ole="">
            <v:imagedata r:id="rId22" o:title=""/>
          </v:shape>
          <o:OLEObject Type="Embed" ProgID="Equation.DSMT4" ShapeID="_x0000_i1031" DrawAspect="Content" ObjectID="_1527400156" r:id="rId23"/>
        </w:object>
      </w:r>
      <w:r w:rsidRPr="00BD46C2">
        <w:rPr>
          <w:sz w:val="28"/>
          <w:szCs w:val="28"/>
        </w:rPr>
        <w:t>.</w:t>
      </w:r>
      <w:r w:rsidRPr="00BD46C2">
        <w:rPr>
          <w:sz w:val="28"/>
          <w:szCs w:val="28"/>
        </w:rPr>
        <w:tab/>
      </w:r>
      <w:r w:rsidRPr="00BD46C2">
        <w:rPr>
          <w:sz w:val="28"/>
          <w:szCs w:val="28"/>
        </w:rPr>
        <w:tab/>
      </w:r>
      <w:r w:rsidRPr="00BD46C2">
        <w:rPr>
          <w:sz w:val="28"/>
          <w:szCs w:val="28"/>
        </w:rPr>
        <w:tab/>
      </w:r>
      <w:r w:rsidRPr="00BD46C2">
        <w:rPr>
          <w:sz w:val="28"/>
          <w:szCs w:val="28"/>
        </w:rPr>
        <w:tab/>
        <w:t>(</w:t>
      </w:r>
      <w:r w:rsidR="008E5A0B">
        <w:rPr>
          <w:sz w:val="28"/>
          <w:szCs w:val="28"/>
        </w:rPr>
        <w:t>4</w:t>
      </w:r>
      <w:r w:rsidRPr="00BD46C2">
        <w:rPr>
          <w:sz w:val="28"/>
          <w:szCs w:val="28"/>
        </w:rPr>
        <w:t>)</w:t>
      </w:r>
    </w:p>
    <w:p w:rsidR="00F50E58" w:rsidRPr="00255851" w:rsidRDefault="00F50E58" w:rsidP="00255851">
      <w:pPr>
        <w:pStyle w:val="ZvTxt"/>
        <w:ind w:firstLine="708"/>
        <w:rPr>
          <w:sz w:val="28"/>
          <w:szCs w:val="28"/>
          <w:lang w:val="ru-RU" w:eastAsia="ar-SA" w:bidi="uk-UA"/>
        </w:rPr>
      </w:pPr>
      <w:r>
        <w:rPr>
          <w:sz w:val="28"/>
          <w:szCs w:val="28"/>
          <w:lang w:eastAsia="ar-SA"/>
        </w:rPr>
        <w:t xml:space="preserve">Зроблено огляд та проведені </w:t>
      </w:r>
      <w:proofErr w:type="spellStart"/>
      <w:r>
        <w:rPr>
          <w:sz w:val="28"/>
          <w:szCs w:val="28"/>
          <w:lang w:eastAsia="ar-SA"/>
        </w:rPr>
        <w:t>співставні</w:t>
      </w:r>
      <w:proofErr w:type="spellEnd"/>
      <w:r>
        <w:rPr>
          <w:sz w:val="28"/>
          <w:szCs w:val="28"/>
          <w:lang w:eastAsia="ar-SA"/>
        </w:rPr>
        <w:t xml:space="preserve"> характеристики </w:t>
      </w:r>
      <w:proofErr w:type="spellStart"/>
      <w:r>
        <w:rPr>
          <w:sz w:val="28"/>
          <w:szCs w:val="28"/>
          <w:lang w:eastAsia="ar-SA" w:bidi="uk-UA"/>
        </w:rPr>
        <w:t>т</w:t>
      </w:r>
      <w:r w:rsidRPr="00F50E58">
        <w:rPr>
          <w:sz w:val="28"/>
          <w:szCs w:val="28"/>
          <w:lang w:eastAsia="ar-SA" w:bidi="uk-UA"/>
        </w:rPr>
        <w:t>радиційні</w:t>
      </w:r>
      <w:r>
        <w:rPr>
          <w:sz w:val="28"/>
          <w:szCs w:val="28"/>
          <w:lang w:eastAsia="ar-SA" w:bidi="uk-UA"/>
        </w:rPr>
        <w:t>х</w:t>
      </w:r>
      <w:proofErr w:type="spellEnd"/>
      <w:r>
        <w:rPr>
          <w:sz w:val="28"/>
          <w:szCs w:val="28"/>
          <w:lang w:eastAsia="ar-SA" w:bidi="uk-UA"/>
        </w:rPr>
        <w:t xml:space="preserve"> технологій</w:t>
      </w:r>
      <w:r w:rsidRPr="00F50E58">
        <w:rPr>
          <w:sz w:val="28"/>
          <w:szCs w:val="28"/>
          <w:lang w:eastAsia="ar-SA" w:bidi="uk-UA"/>
        </w:rPr>
        <w:t xml:space="preserve"> </w:t>
      </w:r>
      <w:proofErr w:type="spellStart"/>
      <w:r w:rsidRPr="00F50E58">
        <w:rPr>
          <w:sz w:val="28"/>
          <w:szCs w:val="28"/>
          <w:lang w:eastAsia="ar-SA" w:bidi="uk-UA"/>
        </w:rPr>
        <w:t> тепло- електроген</w:t>
      </w:r>
      <w:proofErr w:type="spellEnd"/>
      <w:r w:rsidRPr="00F50E58">
        <w:rPr>
          <w:sz w:val="28"/>
          <w:szCs w:val="28"/>
          <w:lang w:eastAsia="ar-SA" w:bidi="uk-UA"/>
        </w:rPr>
        <w:t xml:space="preserve">ерування  для малих об’єктів та на основі </w:t>
      </w:r>
      <w:r>
        <w:rPr>
          <w:sz w:val="28"/>
          <w:szCs w:val="28"/>
          <w:lang w:eastAsia="ar-SA" w:bidi="uk-UA"/>
        </w:rPr>
        <w:t xml:space="preserve">паливних елементів. </w:t>
      </w:r>
      <w:r>
        <w:rPr>
          <w:color w:val="000000" w:themeColor="text1"/>
          <w:sz w:val="28"/>
          <w:szCs w:val="28"/>
          <w:lang w:eastAsia="ar-SA" w:bidi="uk-UA"/>
        </w:rPr>
        <w:t>Аналіз</w:t>
      </w:r>
      <w:r w:rsidRPr="00F50E58">
        <w:rPr>
          <w:color w:val="000000" w:themeColor="text1"/>
          <w:sz w:val="28"/>
          <w:szCs w:val="28"/>
          <w:lang w:eastAsia="ar-SA" w:bidi="uk-UA"/>
        </w:rPr>
        <w:t xml:space="preserve"> експлуатації двигунів показує, що широкий спектр низькокалорійних газів може бути ефективно утилізований в газових двигунах. Основним критерієм, що визначає можливість утилізації того чи іншого газу є ламінарна швидкість полум'я, а не теплота згоряння.</w:t>
      </w:r>
    </w:p>
    <w:p w:rsidR="008E4159" w:rsidRDefault="00F334CC" w:rsidP="002C4675">
      <w:pPr>
        <w:pStyle w:val="ZvTxt"/>
        <w:ind w:firstLine="708"/>
        <w:rPr>
          <w:sz w:val="28"/>
          <w:szCs w:val="28"/>
          <w:lang w:eastAsia="ar-SA"/>
        </w:rPr>
      </w:pPr>
      <w:r w:rsidRPr="009471AE">
        <w:rPr>
          <w:rFonts w:eastAsia="Calibri"/>
          <w:kern w:val="16"/>
          <w:sz w:val="28"/>
          <w:szCs w:val="28"/>
        </w:rPr>
        <w:t xml:space="preserve">В </w:t>
      </w:r>
      <w:r>
        <w:rPr>
          <w:rFonts w:eastAsia="Calibri"/>
          <w:b/>
          <w:kern w:val="16"/>
          <w:sz w:val="28"/>
          <w:szCs w:val="28"/>
        </w:rPr>
        <w:t>третьому</w:t>
      </w:r>
      <w:r w:rsidRPr="009471AE">
        <w:rPr>
          <w:rFonts w:eastAsia="Calibri"/>
          <w:b/>
          <w:kern w:val="16"/>
          <w:sz w:val="28"/>
          <w:szCs w:val="28"/>
        </w:rPr>
        <w:t xml:space="preserve"> розділі</w:t>
      </w:r>
      <w:r>
        <w:rPr>
          <w:rFonts w:eastAsia="Calibri"/>
          <w:b/>
          <w:kern w:val="16"/>
          <w:sz w:val="28"/>
          <w:szCs w:val="28"/>
        </w:rPr>
        <w:t xml:space="preserve"> </w:t>
      </w:r>
      <w:r w:rsidR="00D41980">
        <w:t xml:space="preserve"> </w:t>
      </w:r>
      <w:r w:rsidR="00F50E58">
        <w:rPr>
          <w:sz w:val="28"/>
        </w:rPr>
        <w:t>в</w:t>
      </w:r>
      <w:r w:rsidR="00F50E58">
        <w:rPr>
          <w:sz w:val="28"/>
          <w:szCs w:val="28"/>
          <w:lang w:eastAsia="ar-SA"/>
        </w:rPr>
        <w:t>изначено</w:t>
      </w:r>
      <w:r w:rsidR="00F50E58" w:rsidRPr="00DB1AA4">
        <w:rPr>
          <w:sz w:val="28"/>
          <w:szCs w:val="28"/>
          <w:lang w:eastAsia="ar-SA"/>
        </w:rPr>
        <w:t xml:space="preserve"> оцінки чи</w:t>
      </w:r>
      <w:r w:rsidR="00F50E58">
        <w:rPr>
          <w:sz w:val="28"/>
          <w:szCs w:val="28"/>
          <w:lang w:eastAsia="ar-SA"/>
        </w:rPr>
        <w:t xml:space="preserve">сельних показників ефективності комплексної системи енергопостачання з використанням паливних елементів </w:t>
      </w:r>
      <w:r w:rsidR="006B1083" w:rsidRPr="006B1083">
        <w:rPr>
          <w:sz w:val="28"/>
          <w:szCs w:val="28"/>
          <w:lang w:eastAsia="ar-SA"/>
        </w:rPr>
        <w:t>із циклом перетворення паливного ресурсу на власні потреби системи (рис.1)</w:t>
      </w:r>
      <w:r w:rsidR="006B1083">
        <w:rPr>
          <w:sz w:val="28"/>
          <w:szCs w:val="28"/>
          <w:lang w:eastAsia="ar-SA"/>
        </w:rPr>
        <w:t xml:space="preserve"> </w:t>
      </w:r>
      <w:r w:rsidR="00F50E58" w:rsidRPr="00DB1AA4">
        <w:rPr>
          <w:sz w:val="28"/>
          <w:szCs w:val="28"/>
          <w:lang w:eastAsia="ar-SA"/>
        </w:rPr>
        <w:t xml:space="preserve">на основі моделі життєвого </w:t>
      </w:r>
      <w:r w:rsidR="00F50E58">
        <w:rPr>
          <w:color w:val="000000" w:themeColor="text1"/>
          <w:sz w:val="28"/>
          <w:szCs w:val="28"/>
          <w:lang w:eastAsia="ar-SA"/>
        </w:rPr>
        <w:t xml:space="preserve">циклу в </w:t>
      </w:r>
      <w:r w:rsidR="00F50E58" w:rsidRPr="00DB1AA4">
        <w:rPr>
          <w:color w:val="000000" w:themeColor="text1"/>
          <w:sz w:val="28"/>
          <w:szCs w:val="28"/>
          <w:lang w:eastAsia="ar-SA"/>
        </w:rPr>
        <w:t>умовах нестабільності фінансовог</w:t>
      </w:r>
      <w:r w:rsidR="00F50E58">
        <w:rPr>
          <w:color w:val="000000" w:themeColor="text1"/>
          <w:sz w:val="28"/>
          <w:szCs w:val="28"/>
          <w:lang w:eastAsia="ar-SA"/>
        </w:rPr>
        <w:t xml:space="preserve">о та споживчого ринку в Україні, </w:t>
      </w:r>
      <w:r w:rsidR="00F50E58" w:rsidRPr="00DB1AA4">
        <w:rPr>
          <w:color w:val="000000" w:themeColor="text1"/>
          <w:sz w:val="28"/>
          <w:szCs w:val="28"/>
          <w:lang w:eastAsia="ar-SA"/>
        </w:rPr>
        <w:t xml:space="preserve">що викликано системними кризовими явищами і </w:t>
      </w:r>
      <w:proofErr w:type="spellStart"/>
      <w:r w:rsidR="00F50E58" w:rsidRPr="00DB1AA4">
        <w:rPr>
          <w:color w:val="000000" w:themeColor="text1"/>
          <w:sz w:val="28"/>
          <w:szCs w:val="28"/>
          <w:lang w:eastAsia="ar-SA"/>
        </w:rPr>
        <w:t>зовн</w:t>
      </w:r>
      <w:r w:rsidR="00F50E58">
        <w:rPr>
          <w:color w:val="000000" w:themeColor="text1"/>
          <w:sz w:val="28"/>
          <w:szCs w:val="28"/>
          <w:lang w:eastAsia="ar-SA"/>
        </w:rPr>
        <w:t>ішньо-політичними</w:t>
      </w:r>
      <w:proofErr w:type="spellEnd"/>
      <w:r w:rsidR="00F50E58">
        <w:rPr>
          <w:color w:val="000000" w:themeColor="text1"/>
          <w:sz w:val="28"/>
          <w:szCs w:val="28"/>
          <w:lang w:eastAsia="ar-SA"/>
        </w:rPr>
        <w:t xml:space="preserve"> обставинами. </w:t>
      </w:r>
      <w:r w:rsidR="00F50E58" w:rsidRPr="00DB1AA4">
        <w:rPr>
          <w:sz w:val="28"/>
          <w:szCs w:val="28"/>
          <w:lang w:eastAsia="ar-SA"/>
        </w:rPr>
        <w:t>Для цього виконано варіантні розрахунки</w:t>
      </w:r>
      <w:r w:rsidR="008E4159">
        <w:rPr>
          <w:sz w:val="28"/>
          <w:szCs w:val="28"/>
          <w:lang w:eastAsia="ar-SA"/>
        </w:rPr>
        <w:t xml:space="preserve"> (рис. </w:t>
      </w:r>
      <w:r w:rsidR="006B1083">
        <w:rPr>
          <w:sz w:val="28"/>
          <w:szCs w:val="28"/>
          <w:lang w:eastAsia="ar-SA"/>
        </w:rPr>
        <w:t>2</w:t>
      </w:r>
      <w:r w:rsidR="008E4159">
        <w:rPr>
          <w:sz w:val="28"/>
          <w:szCs w:val="28"/>
          <w:lang w:eastAsia="ar-SA"/>
        </w:rPr>
        <w:t>, рис.</w:t>
      </w:r>
      <w:r w:rsidR="006B1083">
        <w:rPr>
          <w:sz w:val="28"/>
          <w:szCs w:val="28"/>
          <w:lang w:eastAsia="ar-SA"/>
        </w:rPr>
        <w:t xml:space="preserve"> 3</w:t>
      </w:r>
      <w:r w:rsidR="008E4159">
        <w:rPr>
          <w:sz w:val="28"/>
          <w:szCs w:val="28"/>
          <w:lang w:eastAsia="ar-SA"/>
        </w:rPr>
        <w:t xml:space="preserve">) </w:t>
      </w:r>
      <w:r w:rsidR="00F50E58" w:rsidRPr="00DB1AA4">
        <w:rPr>
          <w:sz w:val="28"/>
          <w:szCs w:val="28"/>
          <w:lang w:eastAsia="ar-SA"/>
        </w:rPr>
        <w:t xml:space="preserve"> собівартості виробництва </w:t>
      </w:r>
      <w:r w:rsidR="00F50E58">
        <w:rPr>
          <w:sz w:val="28"/>
          <w:szCs w:val="28"/>
          <w:lang w:eastAsia="ar-SA"/>
        </w:rPr>
        <w:t xml:space="preserve">електричної та </w:t>
      </w:r>
      <w:r w:rsidR="00F50E58" w:rsidRPr="00DB1AA4">
        <w:rPr>
          <w:sz w:val="28"/>
          <w:szCs w:val="28"/>
          <w:lang w:eastAsia="ar-SA"/>
        </w:rPr>
        <w:t xml:space="preserve">теплової енергії </w:t>
      </w:r>
      <w:proofErr w:type="spellStart"/>
      <w:r w:rsidR="008E4159">
        <w:rPr>
          <w:sz w:val="28"/>
          <w:szCs w:val="28"/>
          <w:lang w:eastAsia="ar-SA"/>
        </w:rPr>
        <w:t>когенераційною</w:t>
      </w:r>
      <w:proofErr w:type="spellEnd"/>
      <w:r w:rsidR="008E4159">
        <w:rPr>
          <w:sz w:val="28"/>
          <w:szCs w:val="28"/>
          <w:lang w:eastAsia="ar-SA"/>
        </w:rPr>
        <w:t xml:space="preserve"> установкою для забезпечення технологічного процесу та </w:t>
      </w:r>
      <w:r w:rsidR="008E4159">
        <w:rPr>
          <w:sz w:val="28"/>
          <w:szCs w:val="28"/>
          <w:lang w:eastAsia="ar-SA"/>
        </w:rPr>
        <w:lastRenderedPageBreak/>
        <w:t>сушильного комплексу деревини на базі підприємства деревообробної промисловості.</w:t>
      </w:r>
    </w:p>
    <w:p w:rsidR="006B1083" w:rsidRPr="006B1083" w:rsidRDefault="006B1083" w:rsidP="006B1083">
      <w:pPr>
        <w:pStyle w:val="ZvTxt"/>
        <w:ind w:firstLine="0"/>
        <w:jc w:val="center"/>
        <w:rPr>
          <w:sz w:val="28"/>
          <w:szCs w:val="28"/>
          <w:lang w:eastAsia="ar-SA"/>
        </w:rPr>
      </w:pPr>
      <w:r w:rsidRPr="006B1083">
        <w:rPr>
          <w:noProof/>
          <w:sz w:val="28"/>
          <w:szCs w:val="28"/>
          <w:lang w:eastAsia="uk-UA"/>
        </w:rPr>
        <w:drawing>
          <wp:inline distT="0" distB="0" distL="0" distR="0" wp14:anchorId="4A8D29E8" wp14:editId="248D8F1C">
            <wp:extent cx="5103628" cy="2839166"/>
            <wp:effectExtent l="0" t="0" r="1905" b="0"/>
            <wp:docPr id="11" name="Рисунок 11" descr="E:\photoshop\схеме_синтез-копия-4_гкал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photoshop\схеме_синтез-копия-4_гкалгод.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3628" cy="2839166"/>
                    </a:xfrm>
                    <a:prstGeom prst="rect">
                      <a:avLst/>
                    </a:prstGeom>
                    <a:noFill/>
                    <a:ln>
                      <a:noFill/>
                    </a:ln>
                  </pic:spPr>
                </pic:pic>
              </a:graphicData>
            </a:graphic>
          </wp:inline>
        </w:drawing>
      </w:r>
    </w:p>
    <w:p w:rsidR="006B1083" w:rsidRPr="006B1083" w:rsidRDefault="006B1083" w:rsidP="006B1083">
      <w:pPr>
        <w:pStyle w:val="ZvTxt"/>
        <w:ind w:firstLine="567"/>
        <w:jc w:val="center"/>
        <w:rPr>
          <w:sz w:val="28"/>
          <w:szCs w:val="28"/>
          <w:lang w:eastAsia="ar-SA"/>
        </w:rPr>
      </w:pPr>
      <w:r>
        <w:rPr>
          <w:sz w:val="28"/>
          <w:szCs w:val="28"/>
          <w:lang w:eastAsia="ar-SA"/>
        </w:rPr>
        <w:t>Рис. 1</w:t>
      </w:r>
      <w:r w:rsidRPr="006B1083">
        <w:rPr>
          <w:sz w:val="28"/>
          <w:szCs w:val="28"/>
          <w:lang w:eastAsia="ar-SA"/>
        </w:rPr>
        <w:t xml:space="preserve"> – Технологічна  схема КСЕ із циклом перетворення паливного ресурсу</w:t>
      </w:r>
    </w:p>
    <w:p w:rsidR="006B1083" w:rsidRDefault="006B1083" w:rsidP="00F50E58">
      <w:pPr>
        <w:pStyle w:val="ZvTxt"/>
        <w:ind w:firstLine="567"/>
        <w:rPr>
          <w:sz w:val="28"/>
          <w:szCs w:val="28"/>
          <w:lang w:eastAsia="ar-SA"/>
        </w:rPr>
      </w:pPr>
    </w:p>
    <w:p w:rsidR="008E4159" w:rsidRPr="008E4159" w:rsidRDefault="00255851" w:rsidP="006B1083">
      <w:pPr>
        <w:pStyle w:val="ZvTxt"/>
        <w:ind w:firstLine="0"/>
        <w:jc w:val="center"/>
        <w:rPr>
          <w:sz w:val="28"/>
          <w:szCs w:val="28"/>
          <w:lang w:eastAsia="ar-SA"/>
        </w:rPr>
      </w:pPr>
      <w:r>
        <w:rPr>
          <w:noProof/>
          <w:lang w:eastAsia="uk-UA"/>
        </w:rPr>
        <w:drawing>
          <wp:inline distT="0" distB="0" distL="0" distR="0" wp14:anchorId="05062149" wp14:editId="5737AD48">
            <wp:extent cx="6120765" cy="3019561"/>
            <wp:effectExtent l="0" t="0" r="1333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4159" w:rsidRPr="00255851" w:rsidRDefault="008E4159" w:rsidP="006B1083">
      <w:pPr>
        <w:pStyle w:val="ZvTxt"/>
        <w:ind w:firstLine="567"/>
        <w:jc w:val="center"/>
        <w:rPr>
          <w:sz w:val="28"/>
          <w:szCs w:val="28"/>
          <w:lang w:eastAsia="ar-SA"/>
        </w:rPr>
      </w:pPr>
      <w:r>
        <w:rPr>
          <w:sz w:val="28"/>
          <w:szCs w:val="28"/>
          <w:lang w:eastAsia="ar-SA"/>
        </w:rPr>
        <w:t xml:space="preserve">Рис. </w:t>
      </w:r>
      <w:r w:rsidR="006B1083">
        <w:rPr>
          <w:sz w:val="28"/>
          <w:szCs w:val="28"/>
          <w:lang w:eastAsia="ar-SA"/>
        </w:rPr>
        <w:t>2</w:t>
      </w:r>
      <w:r w:rsidRPr="008E4159">
        <w:rPr>
          <w:sz w:val="28"/>
          <w:szCs w:val="28"/>
          <w:lang w:eastAsia="ar-SA"/>
        </w:rPr>
        <w:t xml:space="preserve"> – Розрахункові криві собівартості енергії (ПГ)</w:t>
      </w:r>
    </w:p>
    <w:p w:rsidR="00255851" w:rsidRPr="00255851" w:rsidRDefault="00255851" w:rsidP="006B1083">
      <w:pPr>
        <w:pStyle w:val="ZvTxt"/>
        <w:ind w:firstLine="567"/>
        <w:jc w:val="center"/>
        <w:rPr>
          <w:sz w:val="28"/>
          <w:szCs w:val="28"/>
          <w:lang w:eastAsia="ar-SA"/>
        </w:rPr>
      </w:pPr>
    </w:p>
    <w:p w:rsidR="00255851" w:rsidRPr="00255851" w:rsidRDefault="00255851" w:rsidP="00255851">
      <w:pPr>
        <w:pStyle w:val="ZvTxt"/>
        <w:ind w:firstLine="567"/>
        <w:rPr>
          <w:sz w:val="28"/>
          <w:szCs w:val="28"/>
          <w:lang w:eastAsia="ar-SA"/>
        </w:rPr>
      </w:pPr>
      <w:r w:rsidRPr="00255851">
        <w:rPr>
          <w:sz w:val="28"/>
          <w:szCs w:val="28"/>
          <w:lang w:eastAsia="ar-SA"/>
        </w:rPr>
        <w:t xml:space="preserve">Так оцінки ефективності використання КСЕ з використанням паливних елементів показують, що собівартість вироблення електричної та теплової енергії, шляхом газифікації відходів підприємства деревообробної </w:t>
      </w:r>
      <w:r w:rsidRPr="00255851">
        <w:rPr>
          <w:sz w:val="28"/>
          <w:szCs w:val="28"/>
          <w:lang w:eastAsia="ar-SA"/>
        </w:rPr>
        <w:lastRenderedPageBreak/>
        <w:t>промисловості, очищення отриманого синтез-газу від домішок та спалювання його у ПЕ, знаходиться на досить привабливому рівні.</w:t>
      </w:r>
    </w:p>
    <w:p w:rsidR="008E4159" w:rsidRDefault="008E4159" w:rsidP="008E4159">
      <w:pPr>
        <w:pStyle w:val="ZvTxt"/>
        <w:ind w:firstLine="567"/>
        <w:rPr>
          <w:sz w:val="28"/>
          <w:szCs w:val="28"/>
          <w:lang w:eastAsia="ar-SA"/>
        </w:rPr>
      </w:pPr>
    </w:p>
    <w:p w:rsidR="008E4159" w:rsidRPr="008E4159" w:rsidRDefault="00255851" w:rsidP="006B1083">
      <w:pPr>
        <w:pStyle w:val="ZvTxt"/>
        <w:ind w:firstLine="0"/>
        <w:jc w:val="center"/>
        <w:rPr>
          <w:sz w:val="28"/>
          <w:szCs w:val="28"/>
          <w:lang w:eastAsia="ar-SA"/>
        </w:rPr>
      </w:pPr>
      <w:r>
        <w:rPr>
          <w:noProof/>
          <w:lang w:eastAsia="uk-UA"/>
        </w:rPr>
        <w:drawing>
          <wp:inline distT="0" distB="0" distL="0" distR="0" wp14:anchorId="0A7F55CE" wp14:editId="520B6EBE">
            <wp:extent cx="5940425" cy="3598957"/>
            <wp:effectExtent l="0" t="0" r="22225" b="209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E4159" w:rsidRPr="00255851" w:rsidRDefault="008E4159" w:rsidP="00255851">
      <w:pPr>
        <w:pStyle w:val="ZvTxt"/>
        <w:ind w:firstLine="567"/>
        <w:jc w:val="center"/>
        <w:rPr>
          <w:sz w:val="28"/>
          <w:szCs w:val="28"/>
          <w:lang w:eastAsia="ar-SA"/>
        </w:rPr>
      </w:pPr>
      <w:r>
        <w:rPr>
          <w:sz w:val="28"/>
          <w:szCs w:val="28"/>
          <w:lang w:eastAsia="ar-SA"/>
        </w:rPr>
        <w:t>Рис</w:t>
      </w:r>
      <w:r w:rsidR="00255851" w:rsidRPr="00255851">
        <w:rPr>
          <w:sz w:val="28"/>
          <w:szCs w:val="28"/>
          <w:lang w:eastAsia="ar-SA"/>
        </w:rPr>
        <w:t>унок</w:t>
      </w:r>
      <w:r>
        <w:rPr>
          <w:sz w:val="28"/>
          <w:szCs w:val="28"/>
          <w:lang w:eastAsia="ar-SA"/>
        </w:rPr>
        <w:t xml:space="preserve"> </w:t>
      </w:r>
      <w:r w:rsidR="00255851" w:rsidRPr="00255851">
        <w:rPr>
          <w:sz w:val="28"/>
          <w:szCs w:val="28"/>
          <w:lang w:eastAsia="ar-SA"/>
        </w:rPr>
        <w:t>3</w:t>
      </w:r>
      <w:r w:rsidR="006B1083">
        <w:rPr>
          <w:sz w:val="28"/>
          <w:szCs w:val="28"/>
          <w:lang w:eastAsia="ar-SA"/>
        </w:rPr>
        <w:t xml:space="preserve"> </w:t>
      </w:r>
      <w:r w:rsidRPr="008E4159">
        <w:rPr>
          <w:sz w:val="28"/>
          <w:szCs w:val="28"/>
          <w:lang w:eastAsia="ar-SA"/>
        </w:rPr>
        <w:t>– Розрахункові криві собівартості енергії (синтез-газ)</w:t>
      </w:r>
    </w:p>
    <w:p w:rsidR="008E4159" w:rsidRDefault="008E4159" w:rsidP="002C4675">
      <w:pPr>
        <w:pStyle w:val="ZvTxt"/>
        <w:ind w:firstLine="708"/>
        <w:rPr>
          <w:sz w:val="28"/>
          <w:szCs w:val="28"/>
          <w:lang w:eastAsia="ar-SA"/>
        </w:rPr>
      </w:pPr>
      <w:r>
        <w:rPr>
          <w:sz w:val="28"/>
          <w:szCs w:val="28"/>
          <w:lang w:eastAsia="ar-SA"/>
        </w:rPr>
        <w:t xml:space="preserve">Оскільки,  </w:t>
      </w:r>
      <w:r w:rsidR="006B1083">
        <w:rPr>
          <w:sz w:val="28"/>
          <w:szCs w:val="28"/>
          <w:lang w:eastAsia="ar-SA"/>
        </w:rPr>
        <w:t>робота КГУ можлива на змішаному паливі, а саме синтез</w:t>
      </w:r>
      <w:r w:rsidR="006426E7">
        <w:rPr>
          <w:sz w:val="28"/>
          <w:szCs w:val="28"/>
          <w:lang w:eastAsia="ar-SA"/>
        </w:rPr>
        <w:t>-газ</w:t>
      </w:r>
      <w:r w:rsidR="006B1083">
        <w:rPr>
          <w:sz w:val="28"/>
          <w:szCs w:val="28"/>
          <w:lang w:eastAsia="ar-SA"/>
        </w:rPr>
        <w:t>, біо</w:t>
      </w:r>
      <w:r w:rsidR="006426E7">
        <w:rPr>
          <w:sz w:val="28"/>
          <w:szCs w:val="28"/>
          <w:lang w:eastAsia="ar-SA"/>
        </w:rPr>
        <w:t>газ та</w:t>
      </w:r>
      <w:r w:rsidR="006B1083">
        <w:rPr>
          <w:sz w:val="28"/>
          <w:szCs w:val="28"/>
          <w:lang w:eastAsia="ar-SA"/>
        </w:rPr>
        <w:t xml:space="preserve"> природний газ, то проаналізован</w:t>
      </w:r>
      <w:r w:rsidR="006426E7">
        <w:rPr>
          <w:sz w:val="28"/>
          <w:szCs w:val="28"/>
          <w:lang w:eastAsia="ar-SA"/>
        </w:rPr>
        <w:t>а</w:t>
      </w:r>
      <w:r w:rsidR="006B1083">
        <w:rPr>
          <w:sz w:val="28"/>
          <w:szCs w:val="28"/>
          <w:lang w:eastAsia="ar-SA"/>
        </w:rPr>
        <w:t xml:space="preserve"> </w:t>
      </w:r>
      <w:r w:rsidR="00F50E58" w:rsidRPr="00DB1AA4">
        <w:rPr>
          <w:sz w:val="28"/>
          <w:szCs w:val="28"/>
          <w:lang w:eastAsia="ar-SA"/>
        </w:rPr>
        <w:t xml:space="preserve"> </w:t>
      </w:r>
      <w:r w:rsidR="006B1083">
        <w:rPr>
          <w:sz w:val="28"/>
          <w:szCs w:val="28"/>
          <w:lang w:eastAsia="ar-SA"/>
        </w:rPr>
        <w:t xml:space="preserve">  н</w:t>
      </w:r>
      <w:r w:rsidRPr="008E4159">
        <w:rPr>
          <w:sz w:val="28"/>
          <w:szCs w:val="28"/>
          <w:lang w:eastAsia="ar-SA"/>
        </w:rPr>
        <w:t>ормована ціна виробництва електричної енергії при різних</w:t>
      </w:r>
      <w:r w:rsidR="006B1083">
        <w:rPr>
          <w:sz w:val="28"/>
          <w:szCs w:val="28"/>
          <w:lang w:eastAsia="ar-SA"/>
        </w:rPr>
        <w:t xml:space="preserve"> пропорціях</w:t>
      </w:r>
      <w:r w:rsidRPr="008E4159">
        <w:rPr>
          <w:sz w:val="28"/>
          <w:szCs w:val="28"/>
          <w:lang w:eastAsia="ar-SA"/>
        </w:rPr>
        <w:t xml:space="preserve"> </w:t>
      </w:r>
      <w:r w:rsidR="006B1083">
        <w:rPr>
          <w:sz w:val="28"/>
          <w:szCs w:val="28"/>
          <w:lang w:eastAsia="ar-SA"/>
        </w:rPr>
        <w:t xml:space="preserve">синтетичного </w:t>
      </w:r>
      <w:r w:rsidRPr="008E4159">
        <w:rPr>
          <w:sz w:val="28"/>
          <w:szCs w:val="28"/>
          <w:lang w:eastAsia="ar-SA"/>
        </w:rPr>
        <w:t xml:space="preserve">палива </w:t>
      </w:r>
      <w:r w:rsidR="006B1083">
        <w:rPr>
          <w:sz w:val="28"/>
          <w:szCs w:val="28"/>
          <w:lang w:eastAsia="ar-SA"/>
        </w:rPr>
        <w:t xml:space="preserve">та природного газу </w:t>
      </w:r>
      <w:r w:rsidRPr="008E4159">
        <w:rPr>
          <w:sz w:val="28"/>
          <w:szCs w:val="28"/>
          <w:lang w:eastAsia="ar-SA"/>
        </w:rPr>
        <w:t xml:space="preserve">під час сумісної генерації електричної та теплової </w:t>
      </w:r>
      <w:r>
        <w:rPr>
          <w:sz w:val="28"/>
          <w:szCs w:val="28"/>
          <w:lang w:eastAsia="ar-SA"/>
        </w:rPr>
        <w:t xml:space="preserve">енергії </w:t>
      </w:r>
      <w:r w:rsidR="006B1083">
        <w:rPr>
          <w:sz w:val="28"/>
          <w:szCs w:val="28"/>
          <w:lang w:eastAsia="ar-SA"/>
        </w:rPr>
        <w:t>(рис. 4).</w:t>
      </w:r>
    </w:p>
    <w:p w:rsidR="008E4159" w:rsidRDefault="00255851" w:rsidP="008E4159">
      <w:pPr>
        <w:pStyle w:val="ZvTxt"/>
        <w:ind w:firstLine="0"/>
        <w:rPr>
          <w:sz w:val="28"/>
          <w:szCs w:val="28"/>
          <w:lang w:eastAsia="ar-SA"/>
        </w:rPr>
      </w:pPr>
      <w:r>
        <w:rPr>
          <w:noProof/>
          <w:lang w:eastAsia="uk-UA"/>
        </w:rPr>
        <w:drawing>
          <wp:inline distT="0" distB="0" distL="0" distR="0" wp14:anchorId="38EACCB4" wp14:editId="22BBE27E">
            <wp:extent cx="5943600" cy="2690037"/>
            <wp:effectExtent l="0" t="0" r="1905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E4159" w:rsidRPr="008E4159" w:rsidRDefault="006B1083" w:rsidP="006B1083">
      <w:pPr>
        <w:pStyle w:val="ZvTxt"/>
        <w:ind w:firstLine="567"/>
        <w:jc w:val="center"/>
        <w:rPr>
          <w:sz w:val="28"/>
          <w:szCs w:val="28"/>
          <w:lang w:eastAsia="ar-SA"/>
        </w:rPr>
      </w:pPr>
      <w:r>
        <w:rPr>
          <w:sz w:val="28"/>
          <w:szCs w:val="28"/>
          <w:lang w:eastAsia="ar-SA"/>
        </w:rPr>
        <w:t>Рис</w:t>
      </w:r>
      <w:proofErr w:type="spellStart"/>
      <w:r w:rsidR="00255851">
        <w:rPr>
          <w:sz w:val="28"/>
          <w:szCs w:val="28"/>
          <w:lang w:val="ru-RU" w:eastAsia="ar-SA"/>
        </w:rPr>
        <w:t>унок</w:t>
      </w:r>
      <w:proofErr w:type="spellEnd"/>
      <w:r>
        <w:rPr>
          <w:sz w:val="28"/>
          <w:szCs w:val="28"/>
          <w:lang w:eastAsia="ar-SA"/>
        </w:rPr>
        <w:t xml:space="preserve"> 4</w:t>
      </w:r>
      <w:r w:rsidR="008E4159">
        <w:rPr>
          <w:sz w:val="28"/>
          <w:szCs w:val="28"/>
          <w:lang w:eastAsia="ar-SA"/>
        </w:rPr>
        <w:t xml:space="preserve"> – </w:t>
      </w:r>
      <w:r w:rsidR="008E4159" w:rsidRPr="008E4159">
        <w:rPr>
          <w:i/>
          <w:sz w:val="28"/>
          <w:szCs w:val="28"/>
          <w:lang w:val="en-US" w:eastAsia="ar-SA"/>
        </w:rPr>
        <w:t>LCOE</w:t>
      </w:r>
      <w:r w:rsidR="008E4159" w:rsidRPr="008E4159">
        <w:rPr>
          <w:sz w:val="28"/>
          <w:szCs w:val="28"/>
          <w:lang w:val="ru-RU" w:eastAsia="ar-SA"/>
        </w:rPr>
        <w:t xml:space="preserve"> </w:t>
      </w:r>
      <w:proofErr w:type="spellStart"/>
      <w:r w:rsidR="008E4159" w:rsidRPr="008E4159">
        <w:rPr>
          <w:sz w:val="28"/>
          <w:szCs w:val="28"/>
          <w:lang w:val="ru-RU" w:eastAsia="ar-SA"/>
        </w:rPr>
        <w:t>когенерація</w:t>
      </w:r>
      <w:proofErr w:type="spellEnd"/>
      <w:r w:rsidR="008E4159" w:rsidRPr="008E4159">
        <w:rPr>
          <w:sz w:val="28"/>
          <w:szCs w:val="28"/>
          <w:lang w:val="ru-RU" w:eastAsia="ar-SA"/>
        </w:rPr>
        <w:t xml:space="preserve"> при </w:t>
      </w:r>
      <w:proofErr w:type="spellStart"/>
      <w:r w:rsidR="008E4159" w:rsidRPr="008E4159">
        <w:rPr>
          <w:sz w:val="28"/>
          <w:szCs w:val="28"/>
          <w:lang w:val="ru-RU" w:eastAsia="ar-SA"/>
        </w:rPr>
        <w:t>різному</w:t>
      </w:r>
      <w:proofErr w:type="spellEnd"/>
      <w:r w:rsidR="008E4159" w:rsidRPr="008E4159">
        <w:rPr>
          <w:sz w:val="28"/>
          <w:szCs w:val="28"/>
          <w:lang w:val="ru-RU" w:eastAsia="ar-SA"/>
        </w:rPr>
        <w:t xml:space="preserve"> </w:t>
      </w:r>
      <w:proofErr w:type="spellStart"/>
      <w:r w:rsidR="008E4159" w:rsidRPr="008E4159">
        <w:rPr>
          <w:sz w:val="28"/>
          <w:szCs w:val="28"/>
          <w:lang w:val="ru-RU" w:eastAsia="ar-SA"/>
        </w:rPr>
        <w:t>складі</w:t>
      </w:r>
      <w:proofErr w:type="spellEnd"/>
      <w:r w:rsidR="008E4159" w:rsidRPr="008E4159">
        <w:rPr>
          <w:sz w:val="28"/>
          <w:szCs w:val="28"/>
          <w:lang w:val="ru-RU" w:eastAsia="ar-SA"/>
        </w:rPr>
        <w:t xml:space="preserve"> </w:t>
      </w:r>
      <w:proofErr w:type="spellStart"/>
      <w:r w:rsidR="008E4159" w:rsidRPr="008E4159">
        <w:rPr>
          <w:sz w:val="28"/>
          <w:szCs w:val="28"/>
          <w:lang w:val="ru-RU" w:eastAsia="ar-SA"/>
        </w:rPr>
        <w:t>палива</w:t>
      </w:r>
      <w:proofErr w:type="spellEnd"/>
    </w:p>
    <w:p w:rsidR="00EB37F5" w:rsidRPr="00255851" w:rsidRDefault="0096731E" w:rsidP="00255851">
      <w:pPr>
        <w:pStyle w:val="a5"/>
        <w:rPr>
          <w:b/>
          <w:lang w:val="ru-RU"/>
        </w:rPr>
      </w:pPr>
      <w:r w:rsidRPr="00255851">
        <w:rPr>
          <w:b/>
          <w:lang w:eastAsia="ar-SA"/>
        </w:rPr>
        <w:lastRenderedPageBreak/>
        <w:t>В</w:t>
      </w:r>
      <w:r w:rsidR="00671A9F" w:rsidRPr="00255851">
        <w:rPr>
          <w:b/>
          <w:lang w:val="ru-RU" w:eastAsia="ar-SA"/>
        </w:rPr>
        <w:t>ИСНОВКИ</w:t>
      </w:r>
    </w:p>
    <w:p w:rsidR="006426E7" w:rsidRPr="006426E7" w:rsidRDefault="006426E7" w:rsidP="002C4675">
      <w:pPr>
        <w:pStyle w:val="ZvTxt"/>
        <w:ind w:firstLine="708"/>
        <w:rPr>
          <w:sz w:val="28"/>
          <w:szCs w:val="28"/>
          <w:lang w:eastAsia="ar-SA"/>
        </w:rPr>
      </w:pPr>
      <w:r w:rsidRPr="006426E7">
        <w:rPr>
          <w:sz w:val="28"/>
          <w:szCs w:val="28"/>
          <w:lang w:eastAsia="ar-SA"/>
        </w:rPr>
        <w:t>1. В умовах постійного зростання витрат на традиційні енергоносії виникла необхідність в пошуку шляхів ефективного їх заміщення за рахунок поновлюваної енергії. Аналіз систем енергопостачання показує, що використання поновлюваних і традиційних джерел енергії в комплексному їх застосуванні, значно підв</w:t>
      </w:r>
      <w:bookmarkStart w:id="3" w:name="_GoBack"/>
      <w:bookmarkEnd w:id="3"/>
      <w:r w:rsidRPr="006426E7">
        <w:rPr>
          <w:sz w:val="28"/>
          <w:szCs w:val="28"/>
          <w:lang w:eastAsia="ar-SA"/>
        </w:rPr>
        <w:t>ищують надійність та стабільність енергозабезпечення споживачів.</w:t>
      </w:r>
    </w:p>
    <w:p w:rsidR="006426E7" w:rsidRPr="006426E7" w:rsidRDefault="006426E7" w:rsidP="002C4675">
      <w:pPr>
        <w:pStyle w:val="ZvTxt"/>
        <w:ind w:firstLine="708"/>
        <w:rPr>
          <w:sz w:val="28"/>
          <w:szCs w:val="28"/>
          <w:lang w:eastAsia="ar-SA"/>
        </w:rPr>
      </w:pPr>
      <w:r w:rsidRPr="006426E7">
        <w:rPr>
          <w:sz w:val="28"/>
          <w:szCs w:val="28"/>
          <w:lang w:eastAsia="ar-SA"/>
        </w:rPr>
        <w:t xml:space="preserve">2. Виконаний аналіз світового досвіду використання паливних елементів  свідчить, що ринок застосувань цих нетрадиційних джерел енергопостачання знаходиться у початкові стадії формування. Розробники фокусують зусилля на вдосконалення технологій ПЕ з </w:t>
      </w:r>
      <w:proofErr w:type="spellStart"/>
      <w:r w:rsidRPr="006426E7">
        <w:rPr>
          <w:sz w:val="28"/>
          <w:szCs w:val="28"/>
          <w:lang w:eastAsia="ar-SA"/>
        </w:rPr>
        <w:t>твердополімерним</w:t>
      </w:r>
      <w:proofErr w:type="spellEnd"/>
      <w:r w:rsidRPr="006426E7">
        <w:rPr>
          <w:sz w:val="28"/>
          <w:szCs w:val="28"/>
          <w:lang w:eastAsia="ar-SA"/>
        </w:rPr>
        <w:t xml:space="preserve"> електролітом та  </w:t>
      </w:r>
      <w:proofErr w:type="spellStart"/>
      <w:r w:rsidRPr="006426E7">
        <w:rPr>
          <w:sz w:val="28"/>
          <w:szCs w:val="28"/>
          <w:lang w:eastAsia="ar-SA"/>
        </w:rPr>
        <w:t>розплавно-карбонатним</w:t>
      </w:r>
      <w:proofErr w:type="spellEnd"/>
      <w:r w:rsidRPr="006426E7">
        <w:rPr>
          <w:sz w:val="28"/>
          <w:szCs w:val="28"/>
          <w:lang w:eastAsia="ar-SA"/>
        </w:rPr>
        <w:t xml:space="preserve"> паливним елементом. Лідерами щодо успішного впровадження ПЕ у якості стаціонарних </w:t>
      </w:r>
      <w:proofErr w:type="spellStart"/>
      <w:r w:rsidRPr="006426E7">
        <w:rPr>
          <w:sz w:val="28"/>
          <w:szCs w:val="28"/>
          <w:lang w:eastAsia="ar-SA"/>
        </w:rPr>
        <w:t>мікрокогенераційних</w:t>
      </w:r>
      <w:proofErr w:type="spellEnd"/>
      <w:r w:rsidRPr="006426E7">
        <w:rPr>
          <w:sz w:val="28"/>
          <w:szCs w:val="28"/>
          <w:lang w:eastAsia="ar-SA"/>
        </w:rPr>
        <w:t xml:space="preserve"> блоків є Японія та Корея. </w:t>
      </w:r>
    </w:p>
    <w:p w:rsidR="006426E7" w:rsidRPr="006426E7" w:rsidRDefault="006426E7" w:rsidP="002C4675">
      <w:pPr>
        <w:pStyle w:val="ZvTxt"/>
        <w:ind w:firstLine="708"/>
        <w:rPr>
          <w:sz w:val="28"/>
          <w:szCs w:val="28"/>
          <w:lang w:eastAsia="ar-SA"/>
        </w:rPr>
      </w:pPr>
      <w:r w:rsidRPr="006426E7">
        <w:rPr>
          <w:sz w:val="28"/>
          <w:szCs w:val="28"/>
          <w:lang w:eastAsia="ar-SA"/>
        </w:rPr>
        <w:t xml:space="preserve">3. </w:t>
      </w:r>
      <w:proofErr w:type="spellStart"/>
      <w:r w:rsidRPr="006426E7">
        <w:rPr>
          <w:sz w:val="28"/>
          <w:szCs w:val="28"/>
          <w:lang w:eastAsia="ar-SA"/>
        </w:rPr>
        <w:t>Проаналізовавши</w:t>
      </w:r>
      <w:proofErr w:type="spellEnd"/>
      <w:r w:rsidRPr="006426E7">
        <w:rPr>
          <w:sz w:val="28"/>
          <w:szCs w:val="28"/>
          <w:lang w:eastAsia="ar-SA"/>
        </w:rPr>
        <w:t xml:space="preserve"> стан енергопостачання об’єктів лісопереробної та деревообробної промисловості було встановлено необхідність удосконалення системи енергопостачання з використанням найбільш доступної сировини для даних галузей, а саме деревних відходів. З цією метою, виконано обґрунтування доцільності побудови КСЕ на основі  ПЕ для підприємства деревообробної промисловості  – шляхом аналізу економічної вигоди від експлуатації нових джерел енергії в умовах економічної кризи, визначеної в реальних грошових одиницях через розрахунки кумулятивних </w:t>
      </w:r>
      <w:proofErr w:type="spellStart"/>
      <w:r w:rsidRPr="006426E7">
        <w:rPr>
          <w:sz w:val="28"/>
          <w:szCs w:val="28"/>
          <w:lang w:eastAsia="ar-SA"/>
        </w:rPr>
        <w:t>дисконтованих</w:t>
      </w:r>
      <w:proofErr w:type="spellEnd"/>
      <w:r w:rsidRPr="006426E7">
        <w:rPr>
          <w:sz w:val="28"/>
          <w:szCs w:val="28"/>
          <w:lang w:eastAsia="ar-SA"/>
        </w:rPr>
        <w:t xml:space="preserve"> грошових потоків.</w:t>
      </w:r>
    </w:p>
    <w:p w:rsidR="006426E7" w:rsidRPr="006426E7" w:rsidRDefault="006426E7" w:rsidP="002C4675">
      <w:pPr>
        <w:pStyle w:val="ZvTxt"/>
        <w:ind w:firstLine="708"/>
        <w:rPr>
          <w:sz w:val="28"/>
          <w:szCs w:val="28"/>
          <w:lang w:eastAsia="ar-SA"/>
        </w:rPr>
      </w:pPr>
      <w:r w:rsidRPr="006426E7">
        <w:rPr>
          <w:sz w:val="28"/>
          <w:szCs w:val="28"/>
          <w:lang w:eastAsia="ar-SA"/>
        </w:rPr>
        <w:t xml:space="preserve">4.  Запропоновано проект високоефективної КСЕ потужністю 300 кВт з використанням </w:t>
      </w:r>
      <w:proofErr w:type="spellStart"/>
      <w:r w:rsidRPr="006426E7">
        <w:rPr>
          <w:sz w:val="28"/>
          <w:szCs w:val="28"/>
          <w:lang w:eastAsia="ar-SA"/>
        </w:rPr>
        <w:t>когенераційної</w:t>
      </w:r>
      <w:proofErr w:type="spellEnd"/>
      <w:r w:rsidRPr="006426E7">
        <w:rPr>
          <w:sz w:val="28"/>
          <w:szCs w:val="28"/>
          <w:lang w:eastAsia="ar-SA"/>
        </w:rPr>
        <w:t xml:space="preserve"> установки на промислових ПЕ, із частковим або повним заміщенням споживання ПГ синтетичним паливом, виробленим із відходів деревини методом високотемпературного піролізу.  Варіантні розрахунки техніко-економічних показників виконано із застосування детермінованої економіко-математичної моделі  життєвого циклу з урахуванням паливної компоненти.</w:t>
      </w:r>
    </w:p>
    <w:p w:rsidR="002C4675" w:rsidRDefault="006426E7" w:rsidP="002C4675">
      <w:pPr>
        <w:pStyle w:val="ZvTxt"/>
        <w:rPr>
          <w:sz w:val="28"/>
          <w:szCs w:val="28"/>
          <w:lang w:val="ru-RU" w:eastAsia="ar-SA"/>
        </w:rPr>
      </w:pPr>
      <w:r w:rsidRPr="006426E7">
        <w:rPr>
          <w:sz w:val="28"/>
          <w:szCs w:val="28"/>
          <w:lang w:eastAsia="ar-SA"/>
        </w:rPr>
        <w:t xml:space="preserve">5. </w:t>
      </w:r>
      <w:r w:rsidR="002C4675" w:rsidRPr="002C4675">
        <w:rPr>
          <w:sz w:val="28"/>
          <w:szCs w:val="28"/>
          <w:lang w:eastAsia="ar-SA"/>
        </w:rPr>
        <w:t xml:space="preserve">При використанні суміші палива для спалювання у ПЕ, з метою генерації електричної і теплової енергії у концентраціях ПГ/синтез-газ 0/100 – </w:t>
      </w:r>
      <w:r w:rsidR="002C4675" w:rsidRPr="002C4675">
        <w:rPr>
          <w:sz w:val="28"/>
          <w:szCs w:val="28"/>
          <w:lang w:eastAsia="ar-SA"/>
        </w:rPr>
        <w:lastRenderedPageBreak/>
        <w:t xml:space="preserve">100/0 собівартість вироблення електричної енергії буде становити від 0,70 </w:t>
      </w:r>
      <w:proofErr w:type="spellStart"/>
      <w:r w:rsidR="002C4675" w:rsidRPr="002C4675">
        <w:rPr>
          <w:sz w:val="28"/>
          <w:szCs w:val="28"/>
          <w:lang w:eastAsia="ar-SA"/>
        </w:rPr>
        <w:t>грн</w:t>
      </w:r>
      <w:proofErr w:type="spellEnd"/>
      <w:r w:rsidR="002C4675" w:rsidRPr="002C4675">
        <w:rPr>
          <w:sz w:val="28"/>
          <w:szCs w:val="28"/>
          <w:lang w:eastAsia="ar-SA"/>
        </w:rPr>
        <w:t>/</w:t>
      </w:r>
      <w:proofErr w:type="spellStart"/>
      <w:r w:rsidR="002C4675" w:rsidRPr="002C4675">
        <w:rPr>
          <w:sz w:val="28"/>
          <w:szCs w:val="28"/>
          <w:lang w:eastAsia="ar-SA"/>
        </w:rPr>
        <w:t>кВт·год</w:t>
      </w:r>
      <w:proofErr w:type="spellEnd"/>
      <w:r w:rsidR="002C4675" w:rsidRPr="002C4675">
        <w:rPr>
          <w:sz w:val="28"/>
          <w:szCs w:val="28"/>
          <w:lang w:eastAsia="ar-SA"/>
        </w:rPr>
        <w:t xml:space="preserve"> до 1,16 </w:t>
      </w:r>
      <w:proofErr w:type="spellStart"/>
      <w:r w:rsidR="002C4675" w:rsidRPr="002C4675">
        <w:rPr>
          <w:sz w:val="28"/>
          <w:szCs w:val="28"/>
          <w:lang w:eastAsia="ar-SA"/>
        </w:rPr>
        <w:t>грн</w:t>
      </w:r>
      <w:proofErr w:type="spellEnd"/>
      <w:r w:rsidR="002C4675" w:rsidRPr="002C4675">
        <w:rPr>
          <w:sz w:val="28"/>
          <w:szCs w:val="28"/>
          <w:lang w:eastAsia="ar-SA"/>
        </w:rPr>
        <w:t>/</w:t>
      </w:r>
      <w:proofErr w:type="spellStart"/>
      <w:r w:rsidR="002C4675" w:rsidRPr="002C4675">
        <w:rPr>
          <w:sz w:val="28"/>
          <w:szCs w:val="28"/>
          <w:lang w:eastAsia="ar-SA"/>
        </w:rPr>
        <w:t>кВт·год</w:t>
      </w:r>
      <w:proofErr w:type="spellEnd"/>
      <w:r w:rsidR="002C4675" w:rsidRPr="002C4675">
        <w:rPr>
          <w:sz w:val="28"/>
          <w:szCs w:val="28"/>
          <w:lang w:eastAsia="ar-SA"/>
        </w:rPr>
        <w:t xml:space="preserve">. </w:t>
      </w:r>
      <w:r w:rsidR="002C4675" w:rsidRPr="002C4675">
        <w:rPr>
          <w:sz w:val="28"/>
          <w:szCs w:val="28"/>
          <w:lang w:val="ru-RU" w:eastAsia="ar-SA"/>
        </w:rPr>
        <w:t xml:space="preserve">При </w:t>
      </w:r>
      <w:proofErr w:type="spellStart"/>
      <w:r w:rsidR="002C4675" w:rsidRPr="002C4675">
        <w:rPr>
          <w:sz w:val="28"/>
          <w:szCs w:val="28"/>
          <w:lang w:val="ru-RU" w:eastAsia="ar-SA"/>
        </w:rPr>
        <w:t>використанні</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лише</w:t>
      </w:r>
      <w:proofErr w:type="spellEnd"/>
      <w:r w:rsidR="002C4675" w:rsidRPr="002C4675">
        <w:rPr>
          <w:sz w:val="28"/>
          <w:szCs w:val="28"/>
          <w:lang w:val="ru-RU" w:eastAsia="ar-SA"/>
        </w:rPr>
        <w:t xml:space="preserve"> </w:t>
      </w:r>
      <w:proofErr w:type="gramStart"/>
      <w:r w:rsidR="002C4675" w:rsidRPr="002C4675">
        <w:rPr>
          <w:sz w:val="28"/>
          <w:szCs w:val="28"/>
          <w:lang w:val="ru-RU" w:eastAsia="ar-SA"/>
        </w:rPr>
        <w:t>синтетичного</w:t>
      </w:r>
      <w:proofErr w:type="gramEnd"/>
      <w:r w:rsidR="002C4675" w:rsidRPr="002C4675">
        <w:rPr>
          <w:sz w:val="28"/>
          <w:szCs w:val="28"/>
          <w:lang w:val="ru-RU" w:eastAsia="ar-SA"/>
        </w:rPr>
        <w:t xml:space="preserve"> газу, </w:t>
      </w:r>
      <w:proofErr w:type="spellStart"/>
      <w:r w:rsidR="002C4675" w:rsidRPr="002C4675">
        <w:rPr>
          <w:sz w:val="28"/>
          <w:szCs w:val="28"/>
          <w:lang w:val="ru-RU" w:eastAsia="ar-SA"/>
        </w:rPr>
        <w:t>вартість</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теплової</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енергії</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становитиме</w:t>
      </w:r>
      <w:proofErr w:type="spellEnd"/>
      <w:r w:rsidR="002C4675" w:rsidRPr="002C4675">
        <w:rPr>
          <w:sz w:val="28"/>
          <w:szCs w:val="28"/>
          <w:lang w:val="ru-RU" w:eastAsia="ar-SA"/>
        </w:rPr>
        <w:t xml:space="preserve"> 455,37 </w:t>
      </w:r>
      <w:proofErr w:type="spellStart"/>
      <w:r w:rsidR="002C4675" w:rsidRPr="002C4675">
        <w:rPr>
          <w:sz w:val="28"/>
          <w:szCs w:val="28"/>
          <w:lang w:val="ru-RU" w:eastAsia="ar-SA"/>
        </w:rPr>
        <w:t>грн</w:t>
      </w:r>
      <w:proofErr w:type="spellEnd"/>
      <w:r w:rsidR="002C4675" w:rsidRPr="002C4675">
        <w:rPr>
          <w:sz w:val="28"/>
          <w:szCs w:val="28"/>
          <w:lang w:val="ru-RU" w:eastAsia="ar-SA"/>
        </w:rPr>
        <w:t xml:space="preserve">/Гкал, </w:t>
      </w:r>
      <w:proofErr w:type="spellStart"/>
      <w:r w:rsidR="002C4675" w:rsidRPr="002C4675">
        <w:rPr>
          <w:sz w:val="28"/>
          <w:szCs w:val="28"/>
          <w:lang w:val="ru-RU" w:eastAsia="ar-SA"/>
        </w:rPr>
        <w:t>що</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нижче</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ніж</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ринкові</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тарифи</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енергопостачальних</w:t>
      </w:r>
      <w:proofErr w:type="spellEnd"/>
      <w:r w:rsidR="002C4675" w:rsidRPr="002C4675">
        <w:rPr>
          <w:sz w:val="28"/>
          <w:szCs w:val="28"/>
          <w:lang w:val="ru-RU" w:eastAsia="ar-SA"/>
        </w:rPr>
        <w:t xml:space="preserve">  </w:t>
      </w:r>
      <w:proofErr w:type="spellStart"/>
      <w:r w:rsidR="002C4675" w:rsidRPr="002C4675">
        <w:rPr>
          <w:sz w:val="28"/>
          <w:szCs w:val="28"/>
          <w:lang w:val="ru-RU" w:eastAsia="ar-SA"/>
        </w:rPr>
        <w:t>організацій</w:t>
      </w:r>
      <w:proofErr w:type="spellEnd"/>
      <w:r w:rsidR="002C4675" w:rsidRPr="002C4675">
        <w:rPr>
          <w:sz w:val="28"/>
          <w:szCs w:val="28"/>
          <w:lang w:val="ru-RU" w:eastAsia="ar-SA"/>
        </w:rPr>
        <w:t>.</w:t>
      </w:r>
    </w:p>
    <w:p w:rsidR="000F68E0" w:rsidRPr="002C4675" w:rsidRDefault="002C4675" w:rsidP="002C4675">
      <w:pPr>
        <w:pStyle w:val="ZvTxt"/>
        <w:rPr>
          <w:sz w:val="28"/>
          <w:szCs w:val="28"/>
          <w:lang w:val="ru-RU" w:eastAsia="ar-SA"/>
        </w:rPr>
      </w:pPr>
      <w:r>
        <w:rPr>
          <w:sz w:val="28"/>
          <w:szCs w:val="28"/>
          <w:lang w:val="ru-RU" w:eastAsia="ar-SA"/>
        </w:rPr>
        <w:t xml:space="preserve">6. </w:t>
      </w:r>
      <w:r w:rsidRPr="002C4675">
        <w:rPr>
          <w:sz w:val="28"/>
          <w:szCs w:val="28"/>
          <w:lang w:eastAsia="ar-SA"/>
        </w:rPr>
        <w:t>Використання синтез-газу на рівні промисловості дозволить скоротити споживання ПГ як дорогого ПЕР, дефіцит котрого добре помітний останнім часом в нашій країні</w:t>
      </w:r>
    </w:p>
    <w:p w:rsidR="00FE7DB0" w:rsidRDefault="00C96705" w:rsidP="00236210">
      <w:pPr>
        <w:pStyle w:val="ZvTxt"/>
        <w:spacing w:before="240" w:after="240"/>
        <w:ind w:firstLine="567"/>
        <w:jc w:val="center"/>
        <w:rPr>
          <w:b/>
          <w:sz w:val="28"/>
          <w:szCs w:val="28"/>
          <w:lang w:eastAsia="ar-SA"/>
        </w:rPr>
      </w:pPr>
      <w:r w:rsidRPr="00C96705">
        <w:rPr>
          <w:b/>
          <w:sz w:val="28"/>
          <w:szCs w:val="28"/>
          <w:lang w:eastAsia="ar-SA"/>
        </w:rPr>
        <w:t>СПИС</w:t>
      </w:r>
      <w:r>
        <w:rPr>
          <w:b/>
          <w:sz w:val="28"/>
          <w:szCs w:val="28"/>
          <w:lang w:eastAsia="ar-SA"/>
        </w:rPr>
        <w:t xml:space="preserve">ОК ОПУБЛІКОВАНИХ ПРАЦЬ ЗА ТЕМОЮ </w:t>
      </w:r>
      <w:r w:rsidRPr="00C96705">
        <w:rPr>
          <w:b/>
          <w:sz w:val="28"/>
          <w:szCs w:val="28"/>
          <w:lang w:eastAsia="ar-SA"/>
        </w:rPr>
        <w:t>МАГІСТЕРСЬКОЇ ДИСЕРТАЦІЇ</w:t>
      </w:r>
    </w:p>
    <w:p w:rsidR="00C96705" w:rsidRPr="00C534C9" w:rsidRDefault="00C96705" w:rsidP="00C534C9">
      <w:pPr>
        <w:widowControl w:val="0"/>
        <w:spacing w:after="0" w:line="360" w:lineRule="auto"/>
        <w:ind w:firstLine="709"/>
        <w:jc w:val="both"/>
        <w:rPr>
          <w:rFonts w:ascii="Times New Roman" w:hAnsi="Times New Roman"/>
          <w:sz w:val="28"/>
          <w:szCs w:val="28"/>
        </w:rPr>
      </w:pPr>
      <w:r w:rsidRPr="00C534C9">
        <w:rPr>
          <w:rFonts w:ascii="Times New Roman" w:hAnsi="Times New Roman"/>
          <w:sz w:val="28"/>
          <w:szCs w:val="28"/>
        </w:rPr>
        <w:t xml:space="preserve">1. </w:t>
      </w:r>
      <w:r w:rsidR="00C534C9" w:rsidRPr="00C534C9">
        <w:rPr>
          <w:rFonts w:ascii="Times New Roman" w:hAnsi="Times New Roman"/>
          <w:sz w:val="28"/>
          <w:szCs w:val="28"/>
        </w:rPr>
        <w:t xml:space="preserve">Шульженко С.В. Економічна оцінка перспективи використання паливних елементів для енергопостачання локального об’єкта / С.В. Шульженко, В.О. Костюк, Є.В. Близнюк // Збірник </w:t>
      </w:r>
      <w:r w:rsidR="00C534C9">
        <w:rPr>
          <w:rFonts w:ascii="Times New Roman" w:hAnsi="Times New Roman"/>
          <w:sz w:val="28"/>
          <w:szCs w:val="28"/>
        </w:rPr>
        <w:t xml:space="preserve">тез </w:t>
      </w:r>
      <w:r w:rsidR="00C534C9" w:rsidRPr="00C534C9">
        <w:rPr>
          <w:rFonts w:ascii="Times New Roman" w:hAnsi="Times New Roman"/>
          <w:sz w:val="28"/>
          <w:szCs w:val="28"/>
        </w:rPr>
        <w:t xml:space="preserve">доповідей  міжнародної науково-технічна та навчально-методична конференція “Енергетичний менеджмент: стан та перспективи </w:t>
      </w:r>
      <w:proofErr w:type="spellStart"/>
      <w:r w:rsidR="00C534C9" w:rsidRPr="00C534C9">
        <w:rPr>
          <w:rFonts w:ascii="Times New Roman" w:hAnsi="Times New Roman"/>
          <w:sz w:val="28"/>
          <w:szCs w:val="28"/>
        </w:rPr>
        <w:t>розвитку”.–</w:t>
      </w:r>
      <w:proofErr w:type="spellEnd"/>
      <w:r w:rsidR="00C534C9" w:rsidRPr="00C534C9">
        <w:rPr>
          <w:rFonts w:ascii="Times New Roman" w:hAnsi="Times New Roman"/>
          <w:sz w:val="28"/>
          <w:szCs w:val="28"/>
        </w:rPr>
        <w:t xml:space="preserve"> Київ.</w:t>
      </w:r>
      <w:r w:rsidR="00C534C9">
        <w:rPr>
          <w:rFonts w:ascii="Times New Roman" w:hAnsi="Times New Roman"/>
          <w:sz w:val="28"/>
          <w:szCs w:val="28"/>
        </w:rPr>
        <w:t xml:space="preserve"> 2015, </w:t>
      </w:r>
      <w:r w:rsidR="00C534C9" w:rsidRPr="00C534C9">
        <w:rPr>
          <w:rFonts w:ascii="Times New Roman" w:hAnsi="Times New Roman"/>
          <w:sz w:val="28"/>
          <w:szCs w:val="28"/>
        </w:rPr>
        <w:t xml:space="preserve">– С. 57-58. </w:t>
      </w:r>
    </w:p>
    <w:p w:rsidR="00C96705" w:rsidRPr="00C534C9" w:rsidRDefault="00C96705" w:rsidP="00C534C9">
      <w:pPr>
        <w:widowControl w:val="0"/>
        <w:spacing w:after="0" w:line="360" w:lineRule="auto"/>
        <w:ind w:firstLine="709"/>
        <w:jc w:val="both"/>
        <w:rPr>
          <w:rFonts w:ascii="Times New Roman" w:hAnsi="Times New Roman"/>
          <w:sz w:val="28"/>
          <w:szCs w:val="28"/>
        </w:rPr>
      </w:pPr>
      <w:r w:rsidRPr="00C534C9">
        <w:rPr>
          <w:rFonts w:ascii="Times New Roman" w:hAnsi="Times New Roman"/>
          <w:sz w:val="28"/>
          <w:szCs w:val="28"/>
        </w:rPr>
        <w:t xml:space="preserve">2. </w:t>
      </w:r>
      <w:r w:rsidR="00C534C9" w:rsidRPr="00C534C9">
        <w:rPr>
          <w:rFonts w:ascii="Times New Roman" w:hAnsi="Times New Roman"/>
          <w:sz w:val="28"/>
          <w:szCs w:val="28"/>
        </w:rPr>
        <w:t xml:space="preserve">Костюк В.О., Близнюк Є.В. Система енергопостачання деревообробного підприємства з   виробництвом синтетичного палива для </w:t>
      </w:r>
      <w:proofErr w:type="spellStart"/>
      <w:r w:rsidR="00C534C9" w:rsidRPr="00C534C9">
        <w:rPr>
          <w:rFonts w:ascii="Times New Roman" w:hAnsi="Times New Roman"/>
          <w:sz w:val="28"/>
          <w:szCs w:val="28"/>
        </w:rPr>
        <w:t>когенераційної</w:t>
      </w:r>
      <w:proofErr w:type="spellEnd"/>
      <w:r w:rsidR="00C534C9" w:rsidRPr="00C534C9">
        <w:rPr>
          <w:rFonts w:ascii="Times New Roman" w:hAnsi="Times New Roman"/>
          <w:sz w:val="28"/>
          <w:szCs w:val="28"/>
        </w:rPr>
        <w:t xml:space="preserve"> установки  на основі паливних елементів // Збірник </w:t>
      </w:r>
      <w:r w:rsidR="00C534C9">
        <w:rPr>
          <w:rFonts w:ascii="Times New Roman" w:hAnsi="Times New Roman"/>
          <w:sz w:val="28"/>
          <w:szCs w:val="28"/>
        </w:rPr>
        <w:t xml:space="preserve">тез </w:t>
      </w:r>
      <w:r w:rsidR="00C534C9" w:rsidRPr="00C534C9">
        <w:rPr>
          <w:rFonts w:ascii="Times New Roman" w:hAnsi="Times New Roman"/>
          <w:sz w:val="28"/>
          <w:szCs w:val="28"/>
        </w:rPr>
        <w:t xml:space="preserve">доповідей </w:t>
      </w:r>
      <w:proofErr w:type="spellStart"/>
      <w:r w:rsidR="00C534C9" w:rsidRPr="00C534C9">
        <w:rPr>
          <w:rFonts w:ascii="Times New Roman" w:hAnsi="Times New Roman"/>
          <w:sz w:val="28"/>
          <w:szCs w:val="28"/>
        </w:rPr>
        <w:t>ІІ-ої</w:t>
      </w:r>
      <w:proofErr w:type="spellEnd"/>
      <w:r w:rsidR="00C534C9" w:rsidRPr="00C534C9">
        <w:rPr>
          <w:rFonts w:ascii="Times New Roman" w:hAnsi="Times New Roman"/>
          <w:sz w:val="28"/>
          <w:szCs w:val="28"/>
        </w:rPr>
        <w:t xml:space="preserve"> міжнародної науково-технічна та навчально-методична конференція “Енергетичний менеджмент: стан та перспективи </w:t>
      </w:r>
      <w:proofErr w:type="spellStart"/>
      <w:r w:rsidR="00C534C9" w:rsidRPr="00C534C9">
        <w:rPr>
          <w:rFonts w:ascii="Times New Roman" w:hAnsi="Times New Roman"/>
          <w:sz w:val="28"/>
          <w:szCs w:val="28"/>
        </w:rPr>
        <w:t>розвитку”.–</w:t>
      </w:r>
      <w:proofErr w:type="spellEnd"/>
      <w:r w:rsidR="00C534C9" w:rsidRPr="00C534C9">
        <w:rPr>
          <w:rFonts w:ascii="Times New Roman" w:hAnsi="Times New Roman"/>
          <w:sz w:val="28"/>
          <w:szCs w:val="28"/>
        </w:rPr>
        <w:t xml:space="preserve"> Київ. 2</w:t>
      </w:r>
      <w:r w:rsidR="00C534C9">
        <w:rPr>
          <w:rFonts w:ascii="Times New Roman" w:hAnsi="Times New Roman"/>
          <w:sz w:val="28"/>
          <w:szCs w:val="28"/>
        </w:rPr>
        <w:t>016</w:t>
      </w:r>
    </w:p>
    <w:p w:rsidR="00C534C9" w:rsidRPr="00C534C9" w:rsidRDefault="00C96705" w:rsidP="00C534C9">
      <w:pPr>
        <w:pStyle w:val="a5"/>
        <w:spacing w:after="0"/>
        <w:ind w:left="0"/>
        <w:jc w:val="both"/>
        <w:rPr>
          <w:rFonts w:eastAsiaTheme="minorHAnsi" w:cstheme="minorBidi"/>
        </w:rPr>
      </w:pPr>
      <w:r w:rsidRPr="00C534C9">
        <w:rPr>
          <w:rFonts w:eastAsiaTheme="minorHAnsi" w:cstheme="minorBidi"/>
        </w:rPr>
        <w:t xml:space="preserve">3. </w:t>
      </w:r>
      <w:r w:rsidR="00C534C9" w:rsidRPr="00C534C9">
        <w:rPr>
          <w:rFonts w:eastAsiaTheme="minorHAnsi" w:cstheme="minorBidi"/>
        </w:rPr>
        <w:t xml:space="preserve">Близнюк Є.В. Комплексна система енергопостачання деревообробного підприємства з   використанням синтетичного палива для живлення </w:t>
      </w:r>
      <w:proofErr w:type="spellStart"/>
      <w:r w:rsidR="00C534C9" w:rsidRPr="00C534C9">
        <w:rPr>
          <w:rFonts w:eastAsiaTheme="minorHAnsi" w:cstheme="minorBidi"/>
        </w:rPr>
        <w:t>розплавно-карбонатних</w:t>
      </w:r>
      <w:proofErr w:type="spellEnd"/>
      <w:r w:rsidR="00C534C9" w:rsidRPr="00C534C9">
        <w:rPr>
          <w:rFonts w:eastAsiaTheme="minorHAnsi" w:cstheme="minorBidi"/>
        </w:rPr>
        <w:t xml:space="preserve"> паливних елементів// Збірник</w:t>
      </w:r>
      <w:r w:rsidR="00C534C9">
        <w:rPr>
          <w:rFonts w:eastAsiaTheme="minorHAnsi" w:cstheme="minorBidi"/>
        </w:rPr>
        <w:t xml:space="preserve"> тез</w:t>
      </w:r>
      <w:r w:rsidR="00C534C9" w:rsidRPr="00C534C9">
        <w:rPr>
          <w:rFonts w:eastAsiaTheme="minorHAnsi" w:cstheme="minorBidi"/>
        </w:rPr>
        <w:t xml:space="preserve"> доповідей міжнародної  конференція “</w:t>
      </w:r>
      <w:r w:rsidR="00C534C9" w:rsidRPr="00C534C9">
        <w:rPr>
          <w:rFonts w:eastAsiaTheme="minorHAnsi" w:cstheme="minorBidi"/>
          <w:bCs/>
        </w:rPr>
        <w:t xml:space="preserve">Енергетика. Екологія. </w:t>
      </w:r>
      <w:proofErr w:type="spellStart"/>
      <w:r w:rsidR="00C534C9" w:rsidRPr="00C534C9">
        <w:rPr>
          <w:rFonts w:eastAsiaTheme="minorHAnsi" w:cstheme="minorBidi"/>
          <w:bCs/>
        </w:rPr>
        <w:t>Людина</w:t>
      </w:r>
      <w:r w:rsidR="00C534C9" w:rsidRPr="00C534C9">
        <w:rPr>
          <w:rFonts w:eastAsiaTheme="minorHAnsi" w:cstheme="minorBidi"/>
        </w:rPr>
        <w:t>”.–</w:t>
      </w:r>
      <w:proofErr w:type="spellEnd"/>
      <w:r w:rsidR="00C534C9" w:rsidRPr="00C534C9">
        <w:rPr>
          <w:rFonts w:eastAsiaTheme="minorHAnsi" w:cstheme="minorBidi"/>
        </w:rPr>
        <w:t xml:space="preserve"> Київ. 2</w:t>
      </w:r>
      <w:r w:rsidR="00C534C9">
        <w:rPr>
          <w:rFonts w:eastAsiaTheme="minorHAnsi" w:cstheme="minorBidi"/>
        </w:rPr>
        <w:t>016.</w:t>
      </w:r>
    </w:p>
    <w:p w:rsidR="00C96705" w:rsidRPr="00671A9F" w:rsidRDefault="001C1B2C" w:rsidP="00671A9F">
      <w:pPr>
        <w:pStyle w:val="ZvTxt"/>
        <w:spacing w:before="240" w:after="240"/>
        <w:ind w:firstLine="567"/>
        <w:jc w:val="center"/>
        <w:rPr>
          <w:b/>
          <w:sz w:val="28"/>
          <w:szCs w:val="28"/>
        </w:rPr>
      </w:pPr>
      <w:r w:rsidRPr="00671A9F">
        <w:rPr>
          <w:b/>
          <w:sz w:val="28"/>
          <w:szCs w:val="28"/>
        </w:rPr>
        <w:t>АНОТАЦІЯ</w:t>
      </w:r>
    </w:p>
    <w:p w:rsidR="00283E5B" w:rsidRPr="00283E5B" w:rsidRDefault="00283E5B" w:rsidP="00283E5B">
      <w:pPr>
        <w:pStyle w:val="ZvTxt"/>
        <w:ind w:firstLine="567"/>
        <w:rPr>
          <w:b/>
          <w:sz w:val="28"/>
          <w:szCs w:val="28"/>
        </w:rPr>
      </w:pPr>
      <w:r w:rsidRPr="00283E5B">
        <w:rPr>
          <w:b/>
          <w:sz w:val="28"/>
          <w:szCs w:val="28"/>
        </w:rPr>
        <w:t>Близнюк Є.В. Комплексне енергопостачання підприємства  деревообробної промисловості з використанням паливних елементів. – Рукопис.</w:t>
      </w:r>
    </w:p>
    <w:p w:rsidR="007309E2" w:rsidRPr="007309E2" w:rsidRDefault="007309E2" w:rsidP="007309E2">
      <w:pPr>
        <w:pStyle w:val="ZvTxt"/>
        <w:ind w:firstLine="567"/>
        <w:rPr>
          <w:sz w:val="28"/>
          <w:szCs w:val="28"/>
        </w:rPr>
      </w:pPr>
      <w:r w:rsidRPr="007309E2">
        <w:rPr>
          <w:sz w:val="28"/>
          <w:szCs w:val="28"/>
        </w:rPr>
        <w:lastRenderedPageBreak/>
        <w:t xml:space="preserve">Дисертація на здобуття ступеня магістра за спеціальністю </w:t>
      </w:r>
      <w:r w:rsidR="006B1083">
        <w:rPr>
          <w:sz w:val="28"/>
          <w:szCs w:val="28"/>
        </w:rPr>
        <w:t>8.05070103</w:t>
      </w:r>
      <w:r w:rsidRPr="007309E2">
        <w:rPr>
          <w:sz w:val="28"/>
          <w:szCs w:val="28"/>
        </w:rPr>
        <w:t xml:space="preserve"> –</w:t>
      </w:r>
      <w:r w:rsidR="00283E5B">
        <w:rPr>
          <w:sz w:val="28"/>
          <w:szCs w:val="28"/>
        </w:rPr>
        <w:t xml:space="preserve"> е</w:t>
      </w:r>
      <w:r w:rsidR="00283E5B" w:rsidRPr="00283E5B">
        <w:rPr>
          <w:sz w:val="28"/>
          <w:szCs w:val="28"/>
        </w:rPr>
        <w:t xml:space="preserve">лектротехнічні системи </w:t>
      </w:r>
      <w:proofErr w:type="spellStart"/>
      <w:r w:rsidR="00283E5B" w:rsidRPr="00283E5B">
        <w:rPr>
          <w:sz w:val="28"/>
          <w:szCs w:val="28"/>
        </w:rPr>
        <w:t>електроспоживання</w:t>
      </w:r>
      <w:proofErr w:type="spellEnd"/>
      <w:r w:rsidR="00283E5B">
        <w:rPr>
          <w:sz w:val="28"/>
          <w:szCs w:val="28"/>
        </w:rPr>
        <w:t>.</w:t>
      </w:r>
      <w:r w:rsidRPr="007309E2">
        <w:rPr>
          <w:sz w:val="28"/>
          <w:szCs w:val="28"/>
        </w:rPr>
        <w:t xml:space="preserve"> – Національний</w:t>
      </w:r>
      <w:r>
        <w:rPr>
          <w:sz w:val="28"/>
          <w:szCs w:val="28"/>
        </w:rPr>
        <w:t xml:space="preserve"> технічний університет</w:t>
      </w:r>
      <w:r w:rsidRPr="007309E2">
        <w:rPr>
          <w:sz w:val="28"/>
          <w:szCs w:val="28"/>
        </w:rPr>
        <w:t xml:space="preserve"> України «Київський пол</w:t>
      </w:r>
      <w:r w:rsidR="00B36A28">
        <w:rPr>
          <w:sz w:val="28"/>
          <w:szCs w:val="28"/>
        </w:rPr>
        <w:t>ітехнічний інститут», Київ, 2016</w:t>
      </w:r>
      <w:r w:rsidR="00BB0427">
        <w:rPr>
          <w:sz w:val="28"/>
          <w:szCs w:val="28"/>
        </w:rPr>
        <w:t>.</w:t>
      </w:r>
    </w:p>
    <w:p w:rsidR="00283E5B" w:rsidRDefault="00A51763" w:rsidP="00283E5B">
      <w:pPr>
        <w:pStyle w:val="ZvTxt"/>
        <w:ind w:firstLine="567"/>
        <w:rPr>
          <w:b/>
          <w:sz w:val="28"/>
          <w:szCs w:val="28"/>
        </w:rPr>
      </w:pPr>
      <w:r w:rsidRPr="00A51763">
        <w:rPr>
          <w:sz w:val="28"/>
          <w:szCs w:val="28"/>
        </w:rPr>
        <w:t xml:space="preserve">У дисертації подано практичні аспекти застосування схем розрахунку оцінок техніко-економічних показників нових </w:t>
      </w:r>
      <w:proofErr w:type="spellStart"/>
      <w:r w:rsidRPr="00A51763">
        <w:rPr>
          <w:sz w:val="28"/>
          <w:szCs w:val="28"/>
        </w:rPr>
        <w:t>електрогенеруючих</w:t>
      </w:r>
      <w:proofErr w:type="spellEnd"/>
      <w:r w:rsidRPr="00A51763">
        <w:rPr>
          <w:sz w:val="28"/>
          <w:szCs w:val="28"/>
        </w:rPr>
        <w:t xml:space="preserve"> установок з </w:t>
      </w:r>
      <w:proofErr w:type="spellStart"/>
      <w:r w:rsidR="00283E5B">
        <w:rPr>
          <w:sz w:val="28"/>
          <w:szCs w:val="28"/>
        </w:rPr>
        <w:t>з</w:t>
      </w:r>
      <w:proofErr w:type="spellEnd"/>
      <w:r w:rsidR="00283E5B">
        <w:rPr>
          <w:sz w:val="28"/>
          <w:szCs w:val="28"/>
        </w:rPr>
        <w:t xml:space="preserve"> використанням паливних елементів</w:t>
      </w:r>
      <w:r w:rsidRPr="00A51763">
        <w:rPr>
          <w:sz w:val="28"/>
          <w:szCs w:val="28"/>
        </w:rPr>
        <w:t xml:space="preserve"> на основі принципу середньозваженої (нормованої) ціни виробництва - для умов їх функціонування, передбачених законодавством України.</w:t>
      </w:r>
      <w:r w:rsidR="00283E5B" w:rsidRPr="00283E5B">
        <w:rPr>
          <w:rFonts w:eastAsiaTheme="minorHAnsi" w:cstheme="minorBidi"/>
          <w:sz w:val="28"/>
          <w:szCs w:val="22"/>
          <w:lang w:eastAsia="en-US"/>
        </w:rPr>
        <w:t xml:space="preserve"> </w:t>
      </w:r>
      <w:r w:rsidR="00283E5B">
        <w:rPr>
          <w:sz w:val="28"/>
          <w:szCs w:val="28"/>
        </w:rPr>
        <w:t>Оцінено</w:t>
      </w:r>
      <w:r w:rsidR="00283E5B" w:rsidRPr="00283E5B">
        <w:rPr>
          <w:sz w:val="28"/>
          <w:szCs w:val="28"/>
        </w:rPr>
        <w:t xml:space="preserve"> економічні показники сумісного і нарізного виробництва електричної та теплової енергії з використанням ПГ, а також у разі заміщення природного газу синтетичним паливом</w:t>
      </w:r>
      <w:r w:rsidR="00283E5B">
        <w:rPr>
          <w:sz w:val="28"/>
          <w:szCs w:val="28"/>
        </w:rPr>
        <w:t>. Обрано</w:t>
      </w:r>
      <w:r w:rsidR="00283E5B" w:rsidRPr="00283E5B">
        <w:rPr>
          <w:sz w:val="28"/>
          <w:szCs w:val="28"/>
        </w:rPr>
        <w:t xml:space="preserve"> раціональну конфігурацію КСЕ на основі ПЕ шляхом розрахунку добових показників споживання технологічними ділянками підприємства</w:t>
      </w:r>
      <w:r w:rsidR="00283E5B">
        <w:rPr>
          <w:sz w:val="28"/>
          <w:szCs w:val="28"/>
        </w:rPr>
        <w:t>. Запропоновано</w:t>
      </w:r>
      <w:r w:rsidR="00283E5B" w:rsidRPr="00283E5B">
        <w:rPr>
          <w:sz w:val="28"/>
          <w:szCs w:val="28"/>
        </w:rPr>
        <w:t xml:space="preserve"> раціональні технологічні режими з метою поліпшення показників енергоефективності об'єкта</w:t>
      </w:r>
      <w:r w:rsidR="00283E5B" w:rsidRPr="00283E5B">
        <w:rPr>
          <w:b/>
          <w:sz w:val="28"/>
          <w:szCs w:val="28"/>
        </w:rPr>
        <w:t xml:space="preserve"> </w:t>
      </w:r>
    </w:p>
    <w:p w:rsidR="007309E2" w:rsidRDefault="007309E2" w:rsidP="00283E5B">
      <w:pPr>
        <w:pStyle w:val="ZvTxt"/>
        <w:ind w:firstLine="567"/>
        <w:rPr>
          <w:sz w:val="28"/>
          <w:szCs w:val="28"/>
        </w:rPr>
      </w:pPr>
      <w:r w:rsidRPr="007309E2">
        <w:rPr>
          <w:b/>
          <w:sz w:val="28"/>
          <w:szCs w:val="28"/>
        </w:rPr>
        <w:t xml:space="preserve">Ключові слова: </w:t>
      </w:r>
      <w:r w:rsidR="00283E5B" w:rsidRPr="00283E5B">
        <w:rPr>
          <w:sz w:val="28"/>
          <w:szCs w:val="28"/>
        </w:rPr>
        <w:t>комбіноване виробництво енергії, паливні елементи, чисте виробництво, модель життєвого циклу, кумулятивний  грошовий потік, нормована ціна виробництва енергії.</w:t>
      </w:r>
    </w:p>
    <w:p w:rsidR="00B36A28" w:rsidRPr="007309E2" w:rsidRDefault="00B36A28" w:rsidP="00283E5B">
      <w:pPr>
        <w:pStyle w:val="ZvTxt"/>
        <w:ind w:firstLine="567"/>
        <w:rPr>
          <w:sz w:val="28"/>
          <w:szCs w:val="28"/>
        </w:rPr>
      </w:pPr>
    </w:p>
    <w:p w:rsidR="00B36A28" w:rsidRPr="00B36A28" w:rsidRDefault="00B36A28" w:rsidP="00B36A28">
      <w:pPr>
        <w:spacing w:after="0" w:line="360" w:lineRule="auto"/>
        <w:ind w:firstLine="567"/>
        <w:jc w:val="both"/>
        <w:rPr>
          <w:rFonts w:ascii="Times New Roman" w:hAnsi="Times New Roman" w:cs="Times New Roman"/>
          <w:b/>
          <w:sz w:val="28"/>
          <w:szCs w:val="28"/>
          <w:shd w:val="clear" w:color="auto" w:fill="FFFFFF"/>
          <w:lang w:val="en-US"/>
        </w:rPr>
      </w:pPr>
      <w:proofErr w:type="spellStart"/>
      <w:r w:rsidRPr="00B36A28">
        <w:rPr>
          <w:rFonts w:ascii="Times New Roman" w:hAnsi="Times New Roman" w:cs="Times New Roman"/>
          <w:b/>
          <w:sz w:val="28"/>
          <w:szCs w:val="28"/>
          <w:shd w:val="clear" w:color="auto" w:fill="FFFFFF"/>
          <w:lang w:val="en-US"/>
        </w:rPr>
        <w:t>Blizniuk</w:t>
      </w:r>
      <w:proofErr w:type="spellEnd"/>
      <w:r w:rsidRPr="00B36A28">
        <w:rPr>
          <w:rFonts w:ascii="Times New Roman" w:hAnsi="Times New Roman" w:cs="Times New Roman"/>
          <w:b/>
          <w:sz w:val="28"/>
          <w:szCs w:val="28"/>
          <w:shd w:val="clear" w:color="auto" w:fill="FFFFFF"/>
          <w:lang w:val="en-US"/>
        </w:rPr>
        <w:t xml:space="preserve"> Y.V. Energy supply system for wood-processing facility with the fuel cell power unit. – Manuscript.</w:t>
      </w:r>
    </w:p>
    <w:p w:rsidR="003D79ED" w:rsidRPr="00B36A28" w:rsidRDefault="003D79ED" w:rsidP="00E002E7">
      <w:pPr>
        <w:spacing w:after="0" w:line="360" w:lineRule="auto"/>
        <w:ind w:firstLine="567"/>
        <w:jc w:val="both"/>
        <w:rPr>
          <w:rFonts w:ascii="Times New Roman" w:hAnsi="Times New Roman"/>
          <w:sz w:val="28"/>
          <w:szCs w:val="28"/>
          <w:lang w:val="en-US"/>
        </w:rPr>
      </w:pPr>
      <w:r w:rsidRPr="00B36A28">
        <w:rPr>
          <w:rFonts w:ascii="Times New Roman" w:hAnsi="Times New Roman"/>
          <w:sz w:val="28"/>
          <w:szCs w:val="28"/>
          <w:lang w:val="en-US"/>
        </w:rPr>
        <w:t>Dissertation on the competition of master’s degree of technical sc</w:t>
      </w:r>
      <w:r w:rsidR="00B36A28" w:rsidRPr="00B36A28">
        <w:rPr>
          <w:rFonts w:ascii="Times New Roman" w:hAnsi="Times New Roman"/>
          <w:sz w:val="28"/>
          <w:szCs w:val="28"/>
          <w:lang w:val="en-US"/>
        </w:rPr>
        <w:t xml:space="preserve">iences on the specialty </w:t>
      </w:r>
      <w:r w:rsidR="00B36A28" w:rsidRPr="00B36A28">
        <w:rPr>
          <w:rFonts w:ascii="Times New Roman" w:hAnsi="Times New Roman"/>
          <w:sz w:val="28"/>
          <w:szCs w:val="28"/>
        </w:rPr>
        <w:t>8.05070103</w:t>
      </w:r>
      <w:r w:rsidRPr="00B36A28">
        <w:rPr>
          <w:rFonts w:ascii="Times New Roman" w:hAnsi="Times New Roman"/>
          <w:sz w:val="28"/>
          <w:szCs w:val="28"/>
          <w:lang w:val="en-US"/>
        </w:rPr>
        <w:t xml:space="preserve"> – energy systems and complexes</w:t>
      </w:r>
      <w:r w:rsidR="00E002E7" w:rsidRPr="00B36A28">
        <w:rPr>
          <w:rFonts w:ascii="Times New Roman" w:hAnsi="Times New Roman"/>
          <w:sz w:val="28"/>
          <w:szCs w:val="28"/>
          <w:lang w:val="en-US"/>
        </w:rPr>
        <w:t xml:space="preserve"> – National Technical University of Ukraine "Kyiv Polytechnic Institute", Kyiv, 201</w:t>
      </w:r>
      <w:r w:rsidR="00B36A28" w:rsidRPr="00B36A28">
        <w:rPr>
          <w:rFonts w:ascii="Times New Roman" w:hAnsi="Times New Roman"/>
          <w:sz w:val="28"/>
          <w:szCs w:val="28"/>
        </w:rPr>
        <w:t>6</w:t>
      </w:r>
      <w:r w:rsidR="00E002E7" w:rsidRPr="00B36A28">
        <w:rPr>
          <w:rFonts w:ascii="Times New Roman" w:hAnsi="Times New Roman"/>
          <w:sz w:val="28"/>
          <w:szCs w:val="28"/>
          <w:lang w:val="en-US"/>
        </w:rPr>
        <w:t>.</w:t>
      </w:r>
    </w:p>
    <w:p w:rsidR="00B36A28" w:rsidRPr="00B36A28" w:rsidRDefault="00B36A28" w:rsidP="00B36A28">
      <w:pPr>
        <w:widowControl w:val="0"/>
        <w:spacing w:after="0" w:line="360" w:lineRule="auto"/>
        <w:ind w:firstLine="709"/>
        <w:jc w:val="both"/>
        <w:rPr>
          <w:rFonts w:ascii="Times New Roman" w:eastAsia="Times New Roman" w:hAnsi="Times New Roman" w:cs="Times New Roman"/>
          <w:sz w:val="28"/>
          <w:szCs w:val="28"/>
          <w:lang w:eastAsia="ru-RU"/>
        </w:rPr>
      </w:pPr>
      <w:r w:rsidRPr="00B36A28">
        <w:rPr>
          <w:rFonts w:ascii="Times New Roman" w:eastAsia="Times New Roman" w:hAnsi="Times New Roman" w:cs="Times New Roman"/>
          <w:sz w:val="28"/>
          <w:szCs w:val="28"/>
          <w:lang w:val="en-US" w:eastAsia="ru-RU"/>
        </w:rPr>
        <w:t xml:space="preserve">In the dissertation presents the practical </w:t>
      </w:r>
      <w:proofErr w:type="gramStart"/>
      <w:r w:rsidRPr="00B36A28">
        <w:rPr>
          <w:rFonts w:ascii="Times New Roman" w:eastAsia="Times New Roman" w:hAnsi="Times New Roman" w:cs="Times New Roman"/>
          <w:sz w:val="28"/>
          <w:szCs w:val="28"/>
          <w:lang w:val="en-US" w:eastAsia="ru-RU"/>
        </w:rPr>
        <w:t>aspects  of</w:t>
      </w:r>
      <w:proofErr w:type="gramEnd"/>
      <w:r w:rsidRPr="00B36A28">
        <w:rPr>
          <w:rFonts w:ascii="Times New Roman" w:eastAsia="Times New Roman" w:hAnsi="Times New Roman" w:cs="Times New Roman"/>
          <w:sz w:val="28"/>
          <w:szCs w:val="28"/>
          <w:lang w:val="en-US" w:eastAsia="ru-RU"/>
        </w:rPr>
        <w:t xml:space="preserve"> modes of estimates the technical and economic performance of new electricity generating installations using fuel cells on the basis of the weighted average (normalized) cost of production - the conditions for their functioning, the laws of Ukraine. </w:t>
      </w:r>
      <w:proofErr w:type="gramStart"/>
      <w:r w:rsidRPr="00B36A28">
        <w:rPr>
          <w:rFonts w:ascii="Times New Roman" w:eastAsia="Times New Roman" w:hAnsi="Times New Roman" w:cs="Times New Roman"/>
          <w:sz w:val="28"/>
          <w:szCs w:val="28"/>
          <w:lang w:val="en-US" w:eastAsia="ru-RU"/>
        </w:rPr>
        <w:t>Reviewed by economic indicators and separate joint production of electricity and heat using reduction and replacement in case of natural gas to synthetic fuel.</w:t>
      </w:r>
      <w:proofErr w:type="gramEnd"/>
      <w:r w:rsidRPr="00B36A28">
        <w:rPr>
          <w:rFonts w:ascii="Times New Roman" w:hAnsi="Times New Roman"/>
          <w:sz w:val="28"/>
          <w:lang w:val="en-US"/>
        </w:rPr>
        <w:t xml:space="preserve"> </w:t>
      </w:r>
      <w:proofErr w:type="spellStart"/>
      <w:r w:rsidRPr="00B36A28">
        <w:rPr>
          <w:rFonts w:ascii="Times New Roman" w:eastAsia="Times New Roman" w:hAnsi="Times New Roman" w:cs="Times New Roman"/>
          <w:sz w:val="28"/>
          <w:szCs w:val="28"/>
          <w:lang w:eastAsia="ru-RU"/>
        </w:rPr>
        <w:t>Chosen</w:t>
      </w:r>
      <w:proofErr w:type="spellEnd"/>
      <w:r w:rsidRPr="00B36A28">
        <w:rPr>
          <w:rFonts w:ascii="Times New Roman" w:eastAsia="Times New Roman" w:hAnsi="Times New Roman" w:cs="Times New Roman"/>
          <w:sz w:val="28"/>
          <w:szCs w:val="28"/>
          <w:lang w:val="en-US" w:eastAsia="ru-RU"/>
        </w:rPr>
        <w:t xml:space="preserve"> a rational configuration of the energy supply system  through the use fuel cell  by calculating the daily </w:t>
      </w:r>
      <w:r w:rsidRPr="00B36A28">
        <w:rPr>
          <w:rFonts w:ascii="Times New Roman" w:eastAsia="Times New Roman" w:hAnsi="Times New Roman" w:cs="Times New Roman"/>
          <w:sz w:val="28"/>
          <w:szCs w:val="28"/>
          <w:lang w:val="en-US" w:eastAsia="ru-RU"/>
        </w:rPr>
        <w:lastRenderedPageBreak/>
        <w:t>consumption energy  of woodworking enterprise</w:t>
      </w:r>
      <w:r>
        <w:rPr>
          <w:rFonts w:ascii="Times New Roman" w:eastAsia="Times New Roman" w:hAnsi="Times New Roman" w:cs="Times New Roman"/>
          <w:sz w:val="28"/>
          <w:szCs w:val="28"/>
          <w:lang w:eastAsia="ru-RU"/>
        </w:rPr>
        <w:t xml:space="preserve">. </w:t>
      </w:r>
      <w:r w:rsidRPr="00B36A28">
        <w:rPr>
          <w:rFonts w:ascii="Times New Roman" w:eastAsia="Times New Roman" w:hAnsi="Times New Roman" w:cs="Times New Roman"/>
          <w:sz w:val="28"/>
          <w:szCs w:val="28"/>
          <w:lang w:val="en-US" w:eastAsia="ru-RU"/>
        </w:rPr>
        <w:t xml:space="preserve">Chosen </w:t>
      </w:r>
      <w:proofErr w:type="gramStart"/>
      <w:r w:rsidRPr="00B36A28">
        <w:rPr>
          <w:rFonts w:ascii="Times New Roman" w:eastAsia="Times New Roman" w:hAnsi="Times New Roman" w:cs="Times New Roman"/>
          <w:sz w:val="28"/>
          <w:szCs w:val="28"/>
          <w:lang w:val="en-US" w:eastAsia="ru-RU"/>
        </w:rPr>
        <w:t>a rational technological modes</w:t>
      </w:r>
      <w:proofErr w:type="gramEnd"/>
      <w:r w:rsidRPr="00B36A28">
        <w:rPr>
          <w:rFonts w:ascii="Times New Roman" w:eastAsia="Times New Roman" w:hAnsi="Times New Roman" w:cs="Times New Roman"/>
          <w:sz w:val="28"/>
          <w:szCs w:val="28"/>
          <w:lang w:val="en-US" w:eastAsia="ru-RU"/>
        </w:rPr>
        <w:t xml:space="preserve"> in order to improve energy efficiency facility.</w:t>
      </w:r>
    </w:p>
    <w:p w:rsidR="00E002E7" w:rsidRPr="00283E5B" w:rsidRDefault="00E002E7" w:rsidP="00E002E7">
      <w:pPr>
        <w:widowControl w:val="0"/>
        <w:spacing w:after="0" w:line="360" w:lineRule="auto"/>
        <w:ind w:firstLine="709"/>
        <w:jc w:val="both"/>
        <w:rPr>
          <w:rFonts w:ascii="Times New Roman" w:hAnsi="Times New Roman"/>
          <w:sz w:val="28"/>
          <w:szCs w:val="28"/>
          <w:lang w:val="en-US"/>
        </w:rPr>
      </w:pPr>
      <w:r w:rsidRPr="00073A17">
        <w:rPr>
          <w:rFonts w:ascii="Times New Roman" w:hAnsi="Times New Roman"/>
          <w:b/>
          <w:sz w:val="28"/>
          <w:szCs w:val="28"/>
          <w:lang w:val="en-US"/>
        </w:rPr>
        <w:t>Key</w:t>
      </w:r>
      <w:r w:rsidR="00073A17" w:rsidRPr="00073A17">
        <w:rPr>
          <w:rFonts w:ascii="Times New Roman" w:hAnsi="Times New Roman"/>
          <w:b/>
          <w:sz w:val="28"/>
          <w:szCs w:val="28"/>
          <w:lang w:val="en-US"/>
        </w:rPr>
        <w:t xml:space="preserve"> </w:t>
      </w:r>
      <w:r w:rsidRPr="00073A17">
        <w:rPr>
          <w:rFonts w:ascii="Times New Roman" w:hAnsi="Times New Roman"/>
          <w:b/>
          <w:sz w:val="28"/>
          <w:szCs w:val="28"/>
          <w:lang w:val="en-US"/>
        </w:rPr>
        <w:t>words</w:t>
      </w:r>
      <w:r w:rsidRPr="00283E5B">
        <w:rPr>
          <w:rFonts w:ascii="Times New Roman" w:hAnsi="Times New Roman"/>
          <w:b/>
          <w:sz w:val="28"/>
          <w:szCs w:val="28"/>
          <w:lang w:val="en-US"/>
        </w:rPr>
        <w:t>:</w:t>
      </w:r>
      <w:r w:rsidRPr="00283E5B">
        <w:rPr>
          <w:rFonts w:ascii="Times New Roman" w:hAnsi="Times New Roman"/>
          <w:sz w:val="28"/>
          <w:szCs w:val="28"/>
          <w:lang w:val="en-US"/>
        </w:rPr>
        <w:t xml:space="preserve"> </w:t>
      </w:r>
      <w:proofErr w:type="spellStart"/>
      <w:r w:rsidR="00283E5B" w:rsidRPr="00283E5B">
        <w:rPr>
          <w:rFonts w:ascii="Times New Roman" w:hAnsi="Times New Roman"/>
          <w:sz w:val="28"/>
          <w:szCs w:val="28"/>
        </w:rPr>
        <w:t>сombined</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production</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of</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energy</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fuel</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cells</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clean</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production</w:t>
      </w:r>
      <w:proofErr w:type="spellEnd"/>
      <w:r w:rsidR="00283E5B" w:rsidRPr="00283E5B">
        <w:rPr>
          <w:rFonts w:ascii="Times New Roman" w:hAnsi="Times New Roman"/>
          <w:sz w:val="28"/>
          <w:szCs w:val="28"/>
        </w:rPr>
        <w:t>, life-</w:t>
      </w:r>
      <w:proofErr w:type="spellStart"/>
      <w:r w:rsidR="00283E5B" w:rsidRPr="00283E5B">
        <w:rPr>
          <w:rFonts w:ascii="Times New Roman" w:hAnsi="Times New Roman"/>
          <w:sz w:val="28"/>
          <w:szCs w:val="28"/>
        </w:rPr>
        <w:t>cycle</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model</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the</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cumulative</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cash</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flow</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normalized</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cost</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of</w:t>
      </w:r>
      <w:proofErr w:type="spellEnd"/>
      <w:r w:rsidR="00283E5B" w:rsidRPr="00283E5B">
        <w:rPr>
          <w:rFonts w:ascii="Times New Roman" w:hAnsi="Times New Roman"/>
          <w:sz w:val="28"/>
          <w:szCs w:val="28"/>
        </w:rPr>
        <w:t xml:space="preserve"> </w:t>
      </w:r>
      <w:proofErr w:type="spellStart"/>
      <w:r w:rsidR="00283E5B" w:rsidRPr="00283E5B">
        <w:rPr>
          <w:rFonts w:ascii="Times New Roman" w:hAnsi="Times New Roman"/>
          <w:sz w:val="28"/>
          <w:szCs w:val="28"/>
        </w:rPr>
        <w:t>energy</w:t>
      </w:r>
      <w:proofErr w:type="spellEnd"/>
    </w:p>
    <w:p w:rsidR="00E002E7" w:rsidRPr="00E002E7" w:rsidRDefault="00E002E7" w:rsidP="007309E2">
      <w:pPr>
        <w:pStyle w:val="ZvTxt"/>
        <w:ind w:firstLine="567"/>
        <w:rPr>
          <w:szCs w:val="28"/>
        </w:rPr>
      </w:pPr>
    </w:p>
    <w:sectPr w:rsidR="00E002E7" w:rsidRPr="00E002E7" w:rsidSect="004B5807">
      <w:headerReference w:type="default" r:id="rId28"/>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86" w:rsidRDefault="00B67586" w:rsidP="00374EF7">
      <w:pPr>
        <w:spacing w:after="0" w:line="240" w:lineRule="auto"/>
      </w:pPr>
      <w:r>
        <w:separator/>
      </w:r>
    </w:p>
  </w:endnote>
  <w:endnote w:type="continuationSeparator" w:id="0">
    <w:p w:rsidR="00B67586" w:rsidRDefault="00B67586" w:rsidP="0037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86" w:rsidRDefault="00B67586" w:rsidP="00374EF7">
      <w:pPr>
        <w:spacing w:after="0" w:line="240" w:lineRule="auto"/>
      </w:pPr>
      <w:r>
        <w:separator/>
      </w:r>
    </w:p>
  </w:footnote>
  <w:footnote w:type="continuationSeparator" w:id="0">
    <w:p w:rsidR="00B67586" w:rsidRDefault="00B67586" w:rsidP="00374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F2" w:rsidRPr="00236210" w:rsidRDefault="00C670F2">
    <w:pPr>
      <w:pStyle w:val="ab"/>
      <w:jc w:val="center"/>
      <w:rPr>
        <w:rFonts w:ascii="Times New Roman" w:hAnsi="Times New Roman" w:cs="Times New Roman"/>
        <w:sz w:val="28"/>
        <w:szCs w:val="28"/>
      </w:rPr>
    </w:pPr>
  </w:p>
  <w:p w:rsidR="00C670F2" w:rsidRDefault="00C670F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449661"/>
      <w:docPartObj>
        <w:docPartGallery w:val="Page Numbers (Top of Page)"/>
        <w:docPartUnique/>
      </w:docPartObj>
    </w:sdtPr>
    <w:sdtEndPr>
      <w:rPr>
        <w:rFonts w:ascii="Times New Roman" w:hAnsi="Times New Roman" w:cs="Times New Roman"/>
        <w:sz w:val="28"/>
        <w:szCs w:val="28"/>
      </w:rPr>
    </w:sdtEndPr>
    <w:sdtContent>
      <w:p w:rsidR="005F70D8" w:rsidRPr="00236210" w:rsidRDefault="005F70D8">
        <w:pPr>
          <w:pStyle w:val="ab"/>
          <w:jc w:val="center"/>
          <w:rPr>
            <w:rFonts w:ascii="Times New Roman" w:hAnsi="Times New Roman" w:cs="Times New Roman"/>
            <w:sz w:val="28"/>
            <w:szCs w:val="28"/>
          </w:rPr>
        </w:pPr>
        <w:r w:rsidRPr="00236210">
          <w:rPr>
            <w:rFonts w:ascii="Times New Roman" w:hAnsi="Times New Roman" w:cs="Times New Roman"/>
            <w:sz w:val="28"/>
            <w:szCs w:val="28"/>
          </w:rPr>
          <w:fldChar w:fldCharType="begin"/>
        </w:r>
        <w:r w:rsidRPr="00236210">
          <w:rPr>
            <w:rFonts w:ascii="Times New Roman" w:hAnsi="Times New Roman" w:cs="Times New Roman"/>
            <w:sz w:val="28"/>
            <w:szCs w:val="28"/>
          </w:rPr>
          <w:instrText>PAGE   \* MERGEFORMAT</w:instrText>
        </w:r>
        <w:r w:rsidRPr="00236210">
          <w:rPr>
            <w:rFonts w:ascii="Times New Roman" w:hAnsi="Times New Roman" w:cs="Times New Roman"/>
            <w:sz w:val="28"/>
            <w:szCs w:val="28"/>
          </w:rPr>
          <w:fldChar w:fldCharType="separate"/>
        </w:r>
        <w:r w:rsidR="00255851" w:rsidRPr="00255851">
          <w:rPr>
            <w:rFonts w:ascii="Times New Roman" w:hAnsi="Times New Roman" w:cs="Times New Roman"/>
            <w:noProof/>
            <w:sz w:val="28"/>
            <w:szCs w:val="28"/>
            <w:lang w:val="ru-RU"/>
          </w:rPr>
          <w:t>12</w:t>
        </w:r>
        <w:r w:rsidRPr="00236210">
          <w:rPr>
            <w:rFonts w:ascii="Times New Roman" w:hAnsi="Times New Roman" w:cs="Times New Roman"/>
            <w:sz w:val="28"/>
            <w:szCs w:val="28"/>
          </w:rPr>
          <w:fldChar w:fldCharType="end"/>
        </w:r>
      </w:p>
    </w:sdtContent>
  </w:sdt>
  <w:p w:rsidR="005F70D8" w:rsidRDefault="005F70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538"/>
    <w:multiLevelType w:val="hybridMultilevel"/>
    <w:tmpl w:val="6D745DF8"/>
    <w:lvl w:ilvl="0" w:tplc="3EAC9786">
      <w:start w:val="1"/>
      <w:numFmt w:val="decimal"/>
      <w:lvlText w:val="%1."/>
      <w:lvlJc w:val="left"/>
      <w:pPr>
        <w:ind w:left="3500" w:hanging="360"/>
      </w:pPr>
      <w:rPr>
        <w:rFonts w:hint="default"/>
      </w:rPr>
    </w:lvl>
    <w:lvl w:ilvl="1" w:tplc="04220019" w:tentative="1">
      <w:start w:val="1"/>
      <w:numFmt w:val="lowerLetter"/>
      <w:lvlText w:val="%2."/>
      <w:lvlJc w:val="left"/>
      <w:pPr>
        <w:ind w:left="4220" w:hanging="360"/>
      </w:pPr>
    </w:lvl>
    <w:lvl w:ilvl="2" w:tplc="0422001B" w:tentative="1">
      <w:start w:val="1"/>
      <w:numFmt w:val="lowerRoman"/>
      <w:lvlText w:val="%3."/>
      <w:lvlJc w:val="right"/>
      <w:pPr>
        <w:ind w:left="4940" w:hanging="180"/>
      </w:pPr>
    </w:lvl>
    <w:lvl w:ilvl="3" w:tplc="0422000F" w:tentative="1">
      <w:start w:val="1"/>
      <w:numFmt w:val="decimal"/>
      <w:lvlText w:val="%4."/>
      <w:lvlJc w:val="left"/>
      <w:pPr>
        <w:ind w:left="5660" w:hanging="360"/>
      </w:pPr>
    </w:lvl>
    <w:lvl w:ilvl="4" w:tplc="04220019" w:tentative="1">
      <w:start w:val="1"/>
      <w:numFmt w:val="lowerLetter"/>
      <w:lvlText w:val="%5."/>
      <w:lvlJc w:val="left"/>
      <w:pPr>
        <w:ind w:left="6380" w:hanging="360"/>
      </w:pPr>
    </w:lvl>
    <w:lvl w:ilvl="5" w:tplc="0422001B" w:tentative="1">
      <w:start w:val="1"/>
      <w:numFmt w:val="lowerRoman"/>
      <w:lvlText w:val="%6."/>
      <w:lvlJc w:val="right"/>
      <w:pPr>
        <w:ind w:left="7100" w:hanging="180"/>
      </w:pPr>
    </w:lvl>
    <w:lvl w:ilvl="6" w:tplc="0422000F" w:tentative="1">
      <w:start w:val="1"/>
      <w:numFmt w:val="decimal"/>
      <w:lvlText w:val="%7."/>
      <w:lvlJc w:val="left"/>
      <w:pPr>
        <w:ind w:left="7820" w:hanging="360"/>
      </w:pPr>
    </w:lvl>
    <w:lvl w:ilvl="7" w:tplc="04220019" w:tentative="1">
      <w:start w:val="1"/>
      <w:numFmt w:val="lowerLetter"/>
      <w:lvlText w:val="%8."/>
      <w:lvlJc w:val="left"/>
      <w:pPr>
        <w:ind w:left="8540" w:hanging="360"/>
      </w:pPr>
    </w:lvl>
    <w:lvl w:ilvl="8" w:tplc="0422001B" w:tentative="1">
      <w:start w:val="1"/>
      <w:numFmt w:val="lowerRoman"/>
      <w:lvlText w:val="%9."/>
      <w:lvlJc w:val="right"/>
      <w:pPr>
        <w:ind w:left="9260" w:hanging="180"/>
      </w:pPr>
    </w:lvl>
  </w:abstractNum>
  <w:abstractNum w:abstractNumId="1">
    <w:nsid w:val="04B70CD8"/>
    <w:multiLevelType w:val="hybridMultilevel"/>
    <w:tmpl w:val="79AEAED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F35180"/>
    <w:multiLevelType w:val="hybridMultilevel"/>
    <w:tmpl w:val="F026607A"/>
    <w:lvl w:ilvl="0" w:tplc="0F28D5EA">
      <w:start w:val="1"/>
      <w:numFmt w:val="decimal"/>
      <w:suff w:val="space"/>
      <w:lvlText w:val="%1."/>
      <w:lvlJc w:val="left"/>
      <w:pPr>
        <w:ind w:left="72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8DF6BA8"/>
    <w:multiLevelType w:val="hybridMultilevel"/>
    <w:tmpl w:val="27D22058"/>
    <w:lvl w:ilvl="0" w:tplc="EFE4B876">
      <w:start w:val="1"/>
      <w:numFmt w:val="decimal"/>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2B24CFA"/>
    <w:multiLevelType w:val="hybridMultilevel"/>
    <w:tmpl w:val="CF626E1C"/>
    <w:lvl w:ilvl="0" w:tplc="0422000F">
      <w:start w:val="1"/>
      <w:numFmt w:val="decimal"/>
      <w:lvlText w:val="%1."/>
      <w:lvlJc w:val="left"/>
      <w:pPr>
        <w:ind w:left="0" w:firstLine="709"/>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0C82366"/>
    <w:multiLevelType w:val="hybridMultilevel"/>
    <w:tmpl w:val="F85471D2"/>
    <w:lvl w:ilvl="0" w:tplc="6B74B90E">
      <w:start w:val="1"/>
      <w:numFmt w:val="decimal"/>
      <w:suff w:val="space"/>
      <w:lvlText w:val="%1."/>
      <w:lvlJc w:val="left"/>
      <w:pPr>
        <w:ind w:left="0" w:firstLine="709"/>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B8B06C6"/>
    <w:multiLevelType w:val="hybridMultilevel"/>
    <w:tmpl w:val="100C1BD2"/>
    <w:lvl w:ilvl="0" w:tplc="BF64F7C8">
      <w:start w:val="1"/>
      <w:numFmt w:val="bullet"/>
      <w:lvlText w:val="•"/>
      <w:lvlJc w:val="left"/>
      <w:pPr>
        <w:tabs>
          <w:tab w:val="num" w:pos="720"/>
        </w:tabs>
        <w:ind w:left="720" w:hanging="360"/>
      </w:pPr>
      <w:rPr>
        <w:rFonts w:ascii="Arial" w:hAnsi="Arial" w:hint="default"/>
      </w:rPr>
    </w:lvl>
    <w:lvl w:ilvl="1" w:tplc="3B9A1662" w:tentative="1">
      <w:start w:val="1"/>
      <w:numFmt w:val="bullet"/>
      <w:lvlText w:val="•"/>
      <w:lvlJc w:val="left"/>
      <w:pPr>
        <w:tabs>
          <w:tab w:val="num" w:pos="1440"/>
        </w:tabs>
        <w:ind w:left="1440" w:hanging="360"/>
      </w:pPr>
      <w:rPr>
        <w:rFonts w:ascii="Arial" w:hAnsi="Arial" w:hint="default"/>
      </w:rPr>
    </w:lvl>
    <w:lvl w:ilvl="2" w:tplc="1298C7E8" w:tentative="1">
      <w:start w:val="1"/>
      <w:numFmt w:val="bullet"/>
      <w:lvlText w:val="•"/>
      <w:lvlJc w:val="left"/>
      <w:pPr>
        <w:tabs>
          <w:tab w:val="num" w:pos="2160"/>
        </w:tabs>
        <w:ind w:left="2160" w:hanging="360"/>
      </w:pPr>
      <w:rPr>
        <w:rFonts w:ascii="Arial" w:hAnsi="Arial" w:hint="default"/>
      </w:rPr>
    </w:lvl>
    <w:lvl w:ilvl="3" w:tplc="9A9CF394" w:tentative="1">
      <w:start w:val="1"/>
      <w:numFmt w:val="bullet"/>
      <w:lvlText w:val="•"/>
      <w:lvlJc w:val="left"/>
      <w:pPr>
        <w:tabs>
          <w:tab w:val="num" w:pos="2880"/>
        </w:tabs>
        <w:ind w:left="2880" w:hanging="360"/>
      </w:pPr>
      <w:rPr>
        <w:rFonts w:ascii="Arial" w:hAnsi="Arial" w:hint="default"/>
      </w:rPr>
    </w:lvl>
    <w:lvl w:ilvl="4" w:tplc="1A488752" w:tentative="1">
      <w:start w:val="1"/>
      <w:numFmt w:val="bullet"/>
      <w:lvlText w:val="•"/>
      <w:lvlJc w:val="left"/>
      <w:pPr>
        <w:tabs>
          <w:tab w:val="num" w:pos="3600"/>
        </w:tabs>
        <w:ind w:left="3600" w:hanging="360"/>
      </w:pPr>
      <w:rPr>
        <w:rFonts w:ascii="Arial" w:hAnsi="Arial" w:hint="default"/>
      </w:rPr>
    </w:lvl>
    <w:lvl w:ilvl="5" w:tplc="B8843A04" w:tentative="1">
      <w:start w:val="1"/>
      <w:numFmt w:val="bullet"/>
      <w:lvlText w:val="•"/>
      <w:lvlJc w:val="left"/>
      <w:pPr>
        <w:tabs>
          <w:tab w:val="num" w:pos="4320"/>
        </w:tabs>
        <w:ind w:left="4320" w:hanging="360"/>
      </w:pPr>
      <w:rPr>
        <w:rFonts w:ascii="Arial" w:hAnsi="Arial" w:hint="default"/>
      </w:rPr>
    </w:lvl>
    <w:lvl w:ilvl="6" w:tplc="3BCEE1B8" w:tentative="1">
      <w:start w:val="1"/>
      <w:numFmt w:val="bullet"/>
      <w:lvlText w:val="•"/>
      <w:lvlJc w:val="left"/>
      <w:pPr>
        <w:tabs>
          <w:tab w:val="num" w:pos="5040"/>
        </w:tabs>
        <w:ind w:left="5040" w:hanging="360"/>
      </w:pPr>
      <w:rPr>
        <w:rFonts w:ascii="Arial" w:hAnsi="Arial" w:hint="default"/>
      </w:rPr>
    </w:lvl>
    <w:lvl w:ilvl="7" w:tplc="E07C8960" w:tentative="1">
      <w:start w:val="1"/>
      <w:numFmt w:val="bullet"/>
      <w:lvlText w:val="•"/>
      <w:lvlJc w:val="left"/>
      <w:pPr>
        <w:tabs>
          <w:tab w:val="num" w:pos="5760"/>
        </w:tabs>
        <w:ind w:left="5760" w:hanging="360"/>
      </w:pPr>
      <w:rPr>
        <w:rFonts w:ascii="Arial" w:hAnsi="Arial" w:hint="default"/>
      </w:rPr>
    </w:lvl>
    <w:lvl w:ilvl="8" w:tplc="AF2C9F00" w:tentative="1">
      <w:start w:val="1"/>
      <w:numFmt w:val="bullet"/>
      <w:lvlText w:val="•"/>
      <w:lvlJc w:val="left"/>
      <w:pPr>
        <w:tabs>
          <w:tab w:val="num" w:pos="6480"/>
        </w:tabs>
        <w:ind w:left="6480" w:hanging="360"/>
      </w:pPr>
      <w:rPr>
        <w:rFonts w:ascii="Arial" w:hAnsi="Arial" w:hint="default"/>
      </w:rPr>
    </w:lvl>
  </w:abstractNum>
  <w:abstractNum w:abstractNumId="7">
    <w:nsid w:val="4A642512"/>
    <w:multiLevelType w:val="hybridMultilevel"/>
    <w:tmpl w:val="CF626E1C"/>
    <w:lvl w:ilvl="0" w:tplc="0422000F">
      <w:start w:val="1"/>
      <w:numFmt w:val="decimal"/>
      <w:lvlText w:val="%1."/>
      <w:lvlJc w:val="left"/>
      <w:pPr>
        <w:ind w:left="0" w:firstLine="709"/>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C93C76"/>
    <w:multiLevelType w:val="hybridMultilevel"/>
    <w:tmpl w:val="3A7E555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F257AD"/>
    <w:multiLevelType w:val="hybridMultilevel"/>
    <w:tmpl w:val="4A7A8C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4D3BAC"/>
    <w:multiLevelType w:val="hybridMultilevel"/>
    <w:tmpl w:val="13A4C7DC"/>
    <w:lvl w:ilvl="0" w:tplc="74B0158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86358A0"/>
    <w:multiLevelType w:val="multilevel"/>
    <w:tmpl w:val="90023964"/>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F846E40"/>
    <w:multiLevelType w:val="hybridMultilevel"/>
    <w:tmpl w:val="E26AB786"/>
    <w:lvl w:ilvl="0" w:tplc="6A24702C">
      <w:start w:val="1500"/>
      <w:numFmt w:val="bullet"/>
      <w:suff w:val="space"/>
      <w:lvlText w:val="-"/>
      <w:lvlJc w:val="left"/>
      <w:pPr>
        <w:ind w:left="0" w:firstLine="709"/>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7C346FE"/>
    <w:multiLevelType w:val="hybridMultilevel"/>
    <w:tmpl w:val="8544F55C"/>
    <w:lvl w:ilvl="0" w:tplc="3A2C2B18">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7835683A"/>
    <w:multiLevelType w:val="hybridMultilevel"/>
    <w:tmpl w:val="2348CF2E"/>
    <w:lvl w:ilvl="0" w:tplc="165C2BD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2"/>
  </w:num>
  <w:num w:numId="2">
    <w:abstractNumId w:val="4"/>
  </w:num>
  <w:num w:numId="3">
    <w:abstractNumId w:val="11"/>
  </w:num>
  <w:num w:numId="4">
    <w:abstractNumId w:val="6"/>
  </w:num>
  <w:num w:numId="5">
    <w:abstractNumId w:val="13"/>
  </w:num>
  <w:num w:numId="6">
    <w:abstractNumId w:val="10"/>
  </w:num>
  <w:num w:numId="7">
    <w:abstractNumId w:val="3"/>
  </w:num>
  <w:num w:numId="8">
    <w:abstractNumId w:val="8"/>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1"/>
  </w:num>
  <w:num w:numId="17">
    <w:abstractNumId w:val="7"/>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yl">
    <w15:presenceInfo w15:providerId="None" w15:userId="Vas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26"/>
    <w:rsid w:val="00005DCE"/>
    <w:rsid w:val="0000647F"/>
    <w:rsid w:val="0000679D"/>
    <w:rsid w:val="00006C20"/>
    <w:rsid w:val="000109C5"/>
    <w:rsid w:val="000132F9"/>
    <w:rsid w:val="000138F0"/>
    <w:rsid w:val="00026459"/>
    <w:rsid w:val="00031D03"/>
    <w:rsid w:val="00036AB9"/>
    <w:rsid w:val="00056B98"/>
    <w:rsid w:val="00064B83"/>
    <w:rsid w:val="00073A17"/>
    <w:rsid w:val="00073C6A"/>
    <w:rsid w:val="000775B9"/>
    <w:rsid w:val="00083E8B"/>
    <w:rsid w:val="00084930"/>
    <w:rsid w:val="000874F8"/>
    <w:rsid w:val="000A1AA2"/>
    <w:rsid w:val="000C0415"/>
    <w:rsid w:val="000C3F4A"/>
    <w:rsid w:val="000C7163"/>
    <w:rsid w:val="000D4065"/>
    <w:rsid w:val="000D6CCA"/>
    <w:rsid w:val="000D7925"/>
    <w:rsid w:val="000E7720"/>
    <w:rsid w:val="000F1B69"/>
    <w:rsid w:val="000F68E0"/>
    <w:rsid w:val="00100CFB"/>
    <w:rsid w:val="00100E55"/>
    <w:rsid w:val="00112FC9"/>
    <w:rsid w:val="00113F58"/>
    <w:rsid w:val="0012331B"/>
    <w:rsid w:val="001258C5"/>
    <w:rsid w:val="00126E4D"/>
    <w:rsid w:val="00131BC6"/>
    <w:rsid w:val="00137B5C"/>
    <w:rsid w:val="00137D25"/>
    <w:rsid w:val="001421D8"/>
    <w:rsid w:val="001440B9"/>
    <w:rsid w:val="00153D2E"/>
    <w:rsid w:val="00157804"/>
    <w:rsid w:val="001650DB"/>
    <w:rsid w:val="001674BD"/>
    <w:rsid w:val="00170B3E"/>
    <w:rsid w:val="001716AB"/>
    <w:rsid w:val="0017590B"/>
    <w:rsid w:val="001764D4"/>
    <w:rsid w:val="00180E2B"/>
    <w:rsid w:val="001955F7"/>
    <w:rsid w:val="00196A56"/>
    <w:rsid w:val="001A0427"/>
    <w:rsid w:val="001A0582"/>
    <w:rsid w:val="001A1BB0"/>
    <w:rsid w:val="001A2628"/>
    <w:rsid w:val="001B1C1B"/>
    <w:rsid w:val="001B4763"/>
    <w:rsid w:val="001B506D"/>
    <w:rsid w:val="001B7A73"/>
    <w:rsid w:val="001C1B2C"/>
    <w:rsid w:val="001C2E2B"/>
    <w:rsid w:val="001C7B3A"/>
    <w:rsid w:val="001D139F"/>
    <w:rsid w:val="001D1DA5"/>
    <w:rsid w:val="001D4BBA"/>
    <w:rsid w:val="001D5C7A"/>
    <w:rsid w:val="001E0FBF"/>
    <w:rsid w:val="001E4877"/>
    <w:rsid w:val="001F0AE0"/>
    <w:rsid w:val="001F180A"/>
    <w:rsid w:val="002003CC"/>
    <w:rsid w:val="0020448D"/>
    <w:rsid w:val="00207DCE"/>
    <w:rsid w:val="002124A8"/>
    <w:rsid w:val="0022614C"/>
    <w:rsid w:val="00230E8E"/>
    <w:rsid w:val="00236210"/>
    <w:rsid w:val="00242522"/>
    <w:rsid w:val="002474E8"/>
    <w:rsid w:val="00254B26"/>
    <w:rsid w:val="00255851"/>
    <w:rsid w:val="002565BF"/>
    <w:rsid w:val="00256E64"/>
    <w:rsid w:val="00283AAE"/>
    <w:rsid w:val="00283E5B"/>
    <w:rsid w:val="002840F5"/>
    <w:rsid w:val="002909A6"/>
    <w:rsid w:val="00290A2A"/>
    <w:rsid w:val="00294B33"/>
    <w:rsid w:val="002A3788"/>
    <w:rsid w:val="002B0F5D"/>
    <w:rsid w:val="002B2ABD"/>
    <w:rsid w:val="002B4A61"/>
    <w:rsid w:val="002B5661"/>
    <w:rsid w:val="002C4675"/>
    <w:rsid w:val="002D0873"/>
    <w:rsid w:val="002D39DB"/>
    <w:rsid w:val="002E42B3"/>
    <w:rsid w:val="002E4D1B"/>
    <w:rsid w:val="002F1044"/>
    <w:rsid w:val="002F3317"/>
    <w:rsid w:val="002F6AD6"/>
    <w:rsid w:val="002F7182"/>
    <w:rsid w:val="00304279"/>
    <w:rsid w:val="003054AD"/>
    <w:rsid w:val="0031033F"/>
    <w:rsid w:val="003114AE"/>
    <w:rsid w:val="00313C8B"/>
    <w:rsid w:val="003229AB"/>
    <w:rsid w:val="00324D30"/>
    <w:rsid w:val="0032577D"/>
    <w:rsid w:val="003262EA"/>
    <w:rsid w:val="00334D7B"/>
    <w:rsid w:val="00343A35"/>
    <w:rsid w:val="00343E6A"/>
    <w:rsid w:val="00347B3E"/>
    <w:rsid w:val="00351974"/>
    <w:rsid w:val="003536E4"/>
    <w:rsid w:val="00357120"/>
    <w:rsid w:val="00370367"/>
    <w:rsid w:val="00371C68"/>
    <w:rsid w:val="00374EF7"/>
    <w:rsid w:val="0038590B"/>
    <w:rsid w:val="00390F43"/>
    <w:rsid w:val="00391CCC"/>
    <w:rsid w:val="0039224C"/>
    <w:rsid w:val="00392B1D"/>
    <w:rsid w:val="003962C7"/>
    <w:rsid w:val="00396913"/>
    <w:rsid w:val="003A272D"/>
    <w:rsid w:val="003A4D76"/>
    <w:rsid w:val="003B2E61"/>
    <w:rsid w:val="003B533B"/>
    <w:rsid w:val="003B7A29"/>
    <w:rsid w:val="003C3B4C"/>
    <w:rsid w:val="003C3D8C"/>
    <w:rsid w:val="003C40D4"/>
    <w:rsid w:val="003D401D"/>
    <w:rsid w:val="003D567C"/>
    <w:rsid w:val="003D79ED"/>
    <w:rsid w:val="003E08E7"/>
    <w:rsid w:val="003E13CD"/>
    <w:rsid w:val="003E1B3E"/>
    <w:rsid w:val="003E2574"/>
    <w:rsid w:val="003E2703"/>
    <w:rsid w:val="003E620A"/>
    <w:rsid w:val="003E7F44"/>
    <w:rsid w:val="003F1B7C"/>
    <w:rsid w:val="00400FF0"/>
    <w:rsid w:val="004024A8"/>
    <w:rsid w:val="00405476"/>
    <w:rsid w:val="00415F8A"/>
    <w:rsid w:val="00420117"/>
    <w:rsid w:val="0044005E"/>
    <w:rsid w:val="004415FB"/>
    <w:rsid w:val="004417A9"/>
    <w:rsid w:val="00445407"/>
    <w:rsid w:val="00445CE6"/>
    <w:rsid w:val="004467C9"/>
    <w:rsid w:val="00450513"/>
    <w:rsid w:val="004513B0"/>
    <w:rsid w:val="00453B31"/>
    <w:rsid w:val="0046106E"/>
    <w:rsid w:val="00466A63"/>
    <w:rsid w:val="00472628"/>
    <w:rsid w:val="00477F3D"/>
    <w:rsid w:val="0048052D"/>
    <w:rsid w:val="00480991"/>
    <w:rsid w:val="00480D80"/>
    <w:rsid w:val="00481FFA"/>
    <w:rsid w:val="00482D8F"/>
    <w:rsid w:val="0048395F"/>
    <w:rsid w:val="00492A5E"/>
    <w:rsid w:val="00492E6B"/>
    <w:rsid w:val="004A5DB9"/>
    <w:rsid w:val="004B18FC"/>
    <w:rsid w:val="004B2980"/>
    <w:rsid w:val="004B2DEA"/>
    <w:rsid w:val="004B4C22"/>
    <w:rsid w:val="004B5807"/>
    <w:rsid w:val="004C1E45"/>
    <w:rsid w:val="004C4F3C"/>
    <w:rsid w:val="004C79DA"/>
    <w:rsid w:val="004F084A"/>
    <w:rsid w:val="004F0ADA"/>
    <w:rsid w:val="004F34FA"/>
    <w:rsid w:val="00502062"/>
    <w:rsid w:val="00505127"/>
    <w:rsid w:val="00506D35"/>
    <w:rsid w:val="005206D7"/>
    <w:rsid w:val="00532C5D"/>
    <w:rsid w:val="005453AC"/>
    <w:rsid w:val="00561CCD"/>
    <w:rsid w:val="005626E3"/>
    <w:rsid w:val="00564D14"/>
    <w:rsid w:val="00570F38"/>
    <w:rsid w:val="00571867"/>
    <w:rsid w:val="00575DF3"/>
    <w:rsid w:val="0058139D"/>
    <w:rsid w:val="00583C24"/>
    <w:rsid w:val="00590FEF"/>
    <w:rsid w:val="0059581C"/>
    <w:rsid w:val="00596A4A"/>
    <w:rsid w:val="005B12A0"/>
    <w:rsid w:val="005C4321"/>
    <w:rsid w:val="005C7241"/>
    <w:rsid w:val="005E07DC"/>
    <w:rsid w:val="005E3A5B"/>
    <w:rsid w:val="005F22DE"/>
    <w:rsid w:val="005F37EA"/>
    <w:rsid w:val="005F47C8"/>
    <w:rsid w:val="005F70D8"/>
    <w:rsid w:val="00620661"/>
    <w:rsid w:val="0062098E"/>
    <w:rsid w:val="00620C10"/>
    <w:rsid w:val="00621829"/>
    <w:rsid w:val="00624DD3"/>
    <w:rsid w:val="00630BB0"/>
    <w:rsid w:val="00633841"/>
    <w:rsid w:val="00637D82"/>
    <w:rsid w:val="006426E7"/>
    <w:rsid w:val="006429C3"/>
    <w:rsid w:val="00643260"/>
    <w:rsid w:val="00643471"/>
    <w:rsid w:val="00644B6E"/>
    <w:rsid w:val="0064544F"/>
    <w:rsid w:val="0064547C"/>
    <w:rsid w:val="00647293"/>
    <w:rsid w:val="0065311C"/>
    <w:rsid w:val="00656715"/>
    <w:rsid w:val="00663664"/>
    <w:rsid w:val="00671A9F"/>
    <w:rsid w:val="00674047"/>
    <w:rsid w:val="00674A35"/>
    <w:rsid w:val="00675CA2"/>
    <w:rsid w:val="006801E8"/>
    <w:rsid w:val="0068050C"/>
    <w:rsid w:val="00684488"/>
    <w:rsid w:val="006926AB"/>
    <w:rsid w:val="00694343"/>
    <w:rsid w:val="0069656D"/>
    <w:rsid w:val="00697E12"/>
    <w:rsid w:val="00697F2E"/>
    <w:rsid w:val="006A0190"/>
    <w:rsid w:val="006A791F"/>
    <w:rsid w:val="006A7BCA"/>
    <w:rsid w:val="006B1083"/>
    <w:rsid w:val="006C65E4"/>
    <w:rsid w:val="006D4C24"/>
    <w:rsid w:val="006E0751"/>
    <w:rsid w:val="006E2A39"/>
    <w:rsid w:val="006F3B06"/>
    <w:rsid w:val="006F4202"/>
    <w:rsid w:val="006F5713"/>
    <w:rsid w:val="00703D58"/>
    <w:rsid w:val="007051C1"/>
    <w:rsid w:val="007113F8"/>
    <w:rsid w:val="0071214E"/>
    <w:rsid w:val="0072070A"/>
    <w:rsid w:val="007233DC"/>
    <w:rsid w:val="007308B7"/>
    <w:rsid w:val="007309E2"/>
    <w:rsid w:val="00730E77"/>
    <w:rsid w:val="00730F7F"/>
    <w:rsid w:val="00733F8E"/>
    <w:rsid w:val="00735D1F"/>
    <w:rsid w:val="00743E81"/>
    <w:rsid w:val="00747BDA"/>
    <w:rsid w:val="0075143D"/>
    <w:rsid w:val="00752A77"/>
    <w:rsid w:val="00753405"/>
    <w:rsid w:val="0075787C"/>
    <w:rsid w:val="00760D2A"/>
    <w:rsid w:val="007636A7"/>
    <w:rsid w:val="007664D7"/>
    <w:rsid w:val="0077347F"/>
    <w:rsid w:val="007834D2"/>
    <w:rsid w:val="00783EBB"/>
    <w:rsid w:val="00785309"/>
    <w:rsid w:val="007956D2"/>
    <w:rsid w:val="007A4FD0"/>
    <w:rsid w:val="007B1BF9"/>
    <w:rsid w:val="007C4258"/>
    <w:rsid w:val="007D4636"/>
    <w:rsid w:val="007E0E4D"/>
    <w:rsid w:val="007E3B4B"/>
    <w:rsid w:val="007E7E9F"/>
    <w:rsid w:val="007F3EAB"/>
    <w:rsid w:val="007F7047"/>
    <w:rsid w:val="00814262"/>
    <w:rsid w:val="00814317"/>
    <w:rsid w:val="00816674"/>
    <w:rsid w:val="00816EB3"/>
    <w:rsid w:val="0082375D"/>
    <w:rsid w:val="0082581E"/>
    <w:rsid w:val="00831EAB"/>
    <w:rsid w:val="008350AC"/>
    <w:rsid w:val="008352D6"/>
    <w:rsid w:val="008361C2"/>
    <w:rsid w:val="00836350"/>
    <w:rsid w:val="00840531"/>
    <w:rsid w:val="00842573"/>
    <w:rsid w:val="00844408"/>
    <w:rsid w:val="0084691F"/>
    <w:rsid w:val="00847EC5"/>
    <w:rsid w:val="008521FF"/>
    <w:rsid w:val="00855EF9"/>
    <w:rsid w:val="00861929"/>
    <w:rsid w:val="00865914"/>
    <w:rsid w:val="00865F5F"/>
    <w:rsid w:val="008738C9"/>
    <w:rsid w:val="008766E9"/>
    <w:rsid w:val="00892DE9"/>
    <w:rsid w:val="00897F2C"/>
    <w:rsid w:val="008A271C"/>
    <w:rsid w:val="008A33C5"/>
    <w:rsid w:val="008A624F"/>
    <w:rsid w:val="008B42F6"/>
    <w:rsid w:val="008C1189"/>
    <w:rsid w:val="008C2A19"/>
    <w:rsid w:val="008C303F"/>
    <w:rsid w:val="008E16DD"/>
    <w:rsid w:val="008E4159"/>
    <w:rsid w:val="008E4846"/>
    <w:rsid w:val="008E5A0B"/>
    <w:rsid w:val="008E5C27"/>
    <w:rsid w:val="008F0FBC"/>
    <w:rsid w:val="008F42D5"/>
    <w:rsid w:val="008F6F44"/>
    <w:rsid w:val="0091584E"/>
    <w:rsid w:val="00915D6A"/>
    <w:rsid w:val="00922027"/>
    <w:rsid w:val="009343E2"/>
    <w:rsid w:val="00936052"/>
    <w:rsid w:val="00943A3F"/>
    <w:rsid w:val="009462D7"/>
    <w:rsid w:val="009471AE"/>
    <w:rsid w:val="00954AE0"/>
    <w:rsid w:val="009554A2"/>
    <w:rsid w:val="00956F55"/>
    <w:rsid w:val="009610FE"/>
    <w:rsid w:val="00965720"/>
    <w:rsid w:val="00965D52"/>
    <w:rsid w:val="0096731E"/>
    <w:rsid w:val="00970D05"/>
    <w:rsid w:val="00987AC2"/>
    <w:rsid w:val="009909DD"/>
    <w:rsid w:val="009941EA"/>
    <w:rsid w:val="00994EA1"/>
    <w:rsid w:val="009A7C02"/>
    <w:rsid w:val="009B6E85"/>
    <w:rsid w:val="009C606F"/>
    <w:rsid w:val="009C7AC9"/>
    <w:rsid w:val="009D7C97"/>
    <w:rsid w:val="009E2683"/>
    <w:rsid w:val="009E321D"/>
    <w:rsid w:val="009F5D89"/>
    <w:rsid w:val="00A071A7"/>
    <w:rsid w:val="00A12E53"/>
    <w:rsid w:val="00A13493"/>
    <w:rsid w:val="00A13E83"/>
    <w:rsid w:val="00A25D1E"/>
    <w:rsid w:val="00A26E27"/>
    <w:rsid w:val="00A30D26"/>
    <w:rsid w:val="00A32DB4"/>
    <w:rsid w:val="00A3433A"/>
    <w:rsid w:val="00A343A2"/>
    <w:rsid w:val="00A40138"/>
    <w:rsid w:val="00A41889"/>
    <w:rsid w:val="00A41D28"/>
    <w:rsid w:val="00A432F3"/>
    <w:rsid w:val="00A46672"/>
    <w:rsid w:val="00A51763"/>
    <w:rsid w:val="00A52262"/>
    <w:rsid w:val="00A52F7C"/>
    <w:rsid w:val="00A76D5F"/>
    <w:rsid w:val="00A85966"/>
    <w:rsid w:val="00A909A5"/>
    <w:rsid w:val="00A9363A"/>
    <w:rsid w:val="00AA2F99"/>
    <w:rsid w:val="00AA4585"/>
    <w:rsid w:val="00AB0C2C"/>
    <w:rsid w:val="00AB36A2"/>
    <w:rsid w:val="00AB6295"/>
    <w:rsid w:val="00AD5635"/>
    <w:rsid w:val="00AE03D6"/>
    <w:rsid w:val="00AE54BA"/>
    <w:rsid w:val="00AE7B7D"/>
    <w:rsid w:val="00B000D3"/>
    <w:rsid w:val="00B14B38"/>
    <w:rsid w:val="00B254E1"/>
    <w:rsid w:val="00B266A8"/>
    <w:rsid w:val="00B359B1"/>
    <w:rsid w:val="00B35C86"/>
    <w:rsid w:val="00B36A28"/>
    <w:rsid w:val="00B417E6"/>
    <w:rsid w:val="00B471A1"/>
    <w:rsid w:val="00B508BF"/>
    <w:rsid w:val="00B605E9"/>
    <w:rsid w:val="00B61F41"/>
    <w:rsid w:val="00B62173"/>
    <w:rsid w:val="00B67586"/>
    <w:rsid w:val="00B7683F"/>
    <w:rsid w:val="00B80C00"/>
    <w:rsid w:val="00B80E57"/>
    <w:rsid w:val="00B82342"/>
    <w:rsid w:val="00B94D78"/>
    <w:rsid w:val="00BA04EE"/>
    <w:rsid w:val="00BA0CD9"/>
    <w:rsid w:val="00BA4585"/>
    <w:rsid w:val="00BB0427"/>
    <w:rsid w:val="00BB2DD8"/>
    <w:rsid w:val="00BC0DA2"/>
    <w:rsid w:val="00BC4BF3"/>
    <w:rsid w:val="00BD44A0"/>
    <w:rsid w:val="00BD4621"/>
    <w:rsid w:val="00BD46C2"/>
    <w:rsid w:val="00BD679E"/>
    <w:rsid w:val="00BE1B17"/>
    <w:rsid w:val="00BE7E5D"/>
    <w:rsid w:val="00BF080B"/>
    <w:rsid w:val="00BF26BA"/>
    <w:rsid w:val="00C1235A"/>
    <w:rsid w:val="00C13412"/>
    <w:rsid w:val="00C21F3A"/>
    <w:rsid w:val="00C22F84"/>
    <w:rsid w:val="00C327F0"/>
    <w:rsid w:val="00C36CE6"/>
    <w:rsid w:val="00C440F3"/>
    <w:rsid w:val="00C534C9"/>
    <w:rsid w:val="00C5505F"/>
    <w:rsid w:val="00C5585E"/>
    <w:rsid w:val="00C61510"/>
    <w:rsid w:val="00C62242"/>
    <w:rsid w:val="00C670F2"/>
    <w:rsid w:val="00C8032E"/>
    <w:rsid w:val="00C81E32"/>
    <w:rsid w:val="00C841F0"/>
    <w:rsid w:val="00C8647E"/>
    <w:rsid w:val="00C93EE8"/>
    <w:rsid w:val="00C96705"/>
    <w:rsid w:val="00CA0757"/>
    <w:rsid w:val="00CA370C"/>
    <w:rsid w:val="00CB1DC3"/>
    <w:rsid w:val="00CB70E9"/>
    <w:rsid w:val="00CC14FE"/>
    <w:rsid w:val="00CC4619"/>
    <w:rsid w:val="00CC5544"/>
    <w:rsid w:val="00CD2E0B"/>
    <w:rsid w:val="00CD6A55"/>
    <w:rsid w:val="00CE4C06"/>
    <w:rsid w:val="00CE6C2E"/>
    <w:rsid w:val="00CF48F7"/>
    <w:rsid w:val="00D00555"/>
    <w:rsid w:val="00D06911"/>
    <w:rsid w:val="00D10F90"/>
    <w:rsid w:val="00D22D6C"/>
    <w:rsid w:val="00D23269"/>
    <w:rsid w:val="00D233EF"/>
    <w:rsid w:val="00D243E4"/>
    <w:rsid w:val="00D25056"/>
    <w:rsid w:val="00D316A1"/>
    <w:rsid w:val="00D34B55"/>
    <w:rsid w:val="00D37B41"/>
    <w:rsid w:val="00D41980"/>
    <w:rsid w:val="00D53B78"/>
    <w:rsid w:val="00D7453B"/>
    <w:rsid w:val="00D758A3"/>
    <w:rsid w:val="00D8532C"/>
    <w:rsid w:val="00D860A4"/>
    <w:rsid w:val="00D861E7"/>
    <w:rsid w:val="00D87379"/>
    <w:rsid w:val="00D87D15"/>
    <w:rsid w:val="00D925CB"/>
    <w:rsid w:val="00D93265"/>
    <w:rsid w:val="00D936EE"/>
    <w:rsid w:val="00D93AFA"/>
    <w:rsid w:val="00D966C7"/>
    <w:rsid w:val="00DA15F0"/>
    <w:rsid w:val="00DA1D52"/>
    <w:rsid w:val="00DA3328"/>
    <w:rsid w:val="00DA60E4"/>
    <w:rsid w:val="00DC1645"/>
    <w:rsid w:val="00DC30B4"/>
    <w:rsid w:val="00DC4EA0"/>
    <w:rsid w:val="00DD2BE2"/>
    <w:rsid w:val="00DD7753"/>
    <w:rsid w:val="00DE18FB"/>
    <w:rsid w:val="00DE4378"/>
    <w:rsid w:val="00DE476B"/>
    <w:rsid w:val="00DF3B2D"/>
    <w:rsid w:val="00DF5C44"/>
    <w:rsid w:val="00E002E7"/>
    <w:rsid w:val="00E036D4"/>
    <w:rsid w:val="00E14C74"/>
    <w:rsid w:val="00E17BDF"/>
    <w:rsid w:val="00E2262D"/>
    <w:rsid w:val="00E359F7"/>
    <w:rsid w:val="00E441EF"/>
    <w:rsid w:val="00E4523E"/>
    <w:rsid w:val="00E507B4"/>
    <w:rsid w:val="00E51B91"/>
    <w:rsid w:val="00E52B39"/>
    <w:rsid w:val="00E6292F"/>
    <w:rsid w:val="00E654A0"/>
    <w:rsid w:val="00E6687E"/>
    <w:rsid w:val="00E679AE"/>
    <w:rsid w:val="00E75BD9"/>
    <w:rsid w:val="00E81EC2"/>
    <w:rsid w:val="00E822F6"/>
    <w:rsid w:val="00E82BC9"/>
    <w:rsid w:val="00E845F9"/>
    <w:rsid w:val="00E8589D"/>
    <w:rsid w:val="00E9710F"/>
    <w:rsid w:val="00EA3CFD"/>
    <w:rsid w:val="00EA7308"/>
    <w:rsid w:val="00EB37BA"/>
    <w:rsid w:val="00EB37F5"/>
    <w:rsid w:val="00EC2C70"/>
    <w:rsid w:val="00EC3613"/>
    <w:rsid w:val="00EC4C18"/>
    <w:rsid w:val="00EC5F3C"/>
    <w:rsid w:val="00EC740D"/>
    <w:rsid w:val="00ED0DEC"/>
    <w:rsid w:val="00ED5C2B"/>
    <w:rsid w:val="00ED7986"/>
    <w:rsid w:val="00EE1E75"/>
    <w:rsid w:val="00EE3A26"/>
    <w:rsid w:val="00EF37DE"/>
    <w:rsid w:val="00F06A33"/>
    <w:rsid w:val="00F101F4"/>
    <w:rsid w:val="00F130CA"/>
    <w:rsid w:val="00F14A4E"/>
    <w:rsid w:val="00F14C20"/>
    <w:rsid w:val="00F16E6C"/>
    <w:rsid w:val="00F24929"/>
    <w:rsid w:val="00F334CC"/>
    <w:rsid w:val="00F47692"/>
    <w:rsid w:val="00F50E58"/>
    <w:rsid w:val="00F67946"/>
    <w:rsid w:val="00F73B49"/>
    <w:rsid w:val="00F81DBE"/>
    <w:rsid w:val="00F852AE"/>
    <w:rsid w:val="00F85EE8"/>
    <w:rsid w:val="00F92510"/>
    <w:rsid w:val="00F95943"/>
    <w:rsid w:val="00FA116B"/>
    <w:rsid w:val="00FA1CB0"/>
    <w:rsid w:val="00FA24C4"/>
    <w:rsid w:val="00FA5526"/>
    <w:rsid w:val="00FB16BA"/>
    <w:rsid w:val="00FB427B"/>
    <w:rsid w:val="00FC078A"/>
    <w:rsid w:val="00FC4E82"/>
    <w:rsid w:val="00FD4DA0"/>
    <w:rsid w:val="00FE7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26"/>
  </w:style>
  <w:style w:type="paragraph" w:styleId="1">
    <w:name w:val="heading 1"/>
    <w:basedOn w:val="a"/>
    <w:next w:val="a"/>
    <w:link w:val="10"/>
    <w:uiPriority w:val="9"/>
    <w:qFormat/>
    <w:rsid w:val="00B2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3"/>
    <w:link w:val="20"/>
    <w:uiPriority w:val="9"/>
    <w:qFormat/>
    <w:rsid w:val="005C7241"/>
    <w:pPr>
      <w:keepNext/>
      <w:keepLines/>
      <w:spacing w:before="120" w:after="120" w:line="360" w:lineRule="auto"/>
      <w:ind w:firstLine="709"/>
      <w:jc w:val="both"/>
      <w:outlineLvl w:val="1"/>
    </w:pPr>
    <w:rPr>
      <w:rFonts w:ascii="Times New Roman" w:eastAsia="Times New Roman" w:hAnsi="Times New Roman" w:cs="Times New Roman"/>
      <w:b/>
      <w:sz w:val="28"/>
      <w:szCs w:val="26"/>
      <w:lang w:val="ru-RU"/>
    </w:rPr>
  </w:style>
  <w:style w:type="paragraph" w:styleId="3">
    <w:name w:val="heading 3"/>
    <w:basedOn w:val="a"/>
    <w:next w:val="a"/>
    <w:link w:val="30"/>
    <w:uiPriority w:val="9"/>
    <w:semiHidden/>
    <w:unhideWhenUsed/>
    <w:qFormat/>
    <w:rsid w:val="005C7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3A26"/>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а Знак"/>
    <w:basedOn w:val="a0"/>
    <w:link w:val="a3"/>
    <w:uiPriority w:val="34"/>
    <w:rsid w:val="00EE3A26"/>
    <w:rPr>
      <w:rFonts w:ascii="Times New Roman" w:eastAsia="Times New Roman" w:hAnsi="Times New Roman" w:cs="Times New Roman"/>
      <w:sz w:val="24"/>
      <w:szCs w:val="24"/>
      <w:lang w:val="ru-RU" w:eastAsia="ru-RU"/>
    </w:rPr>
  </w:style>
  <w:style w:type="paragraph" w:customStyle="1" w:styleId="a5">
    <w:name w:val="заглавие!!!"/>
    <w:basedOn w:val="a"/>
    <w:link w:val="a6"/>
    <w:qFormat/>
    <w:rsid w:val="00EE3A26"/>
    <w:pPr>
      <w:tabs>
        <w:tab w:val="left" w:pos="0"/>
      </w:tabs>
      <w:spacing w:line="360" w:lineRule="auto"/>
      <w:ind w:left="142" w:firstLine="709"/>
      <w:jc w:val="center"/>
    </w:pPr>
    <w:rPr>
      <w:rFonts w:ascii="Times New Roman" w:eastAsia="Calibri" w:hAnsi="Times New Roman" w:cs="Times New Roman"/>
      <w:sz w:val="28"/>
      <w:szCs w:val="28"/>
    </w:rPr>
  </w:style>
  <w:style w:type="character" w:customStyle="1" w:styleId="a6">
    <w:name w:val="заглавие!!! Знак"/>
    <w:link w:val="a5"/>
    <w:rsid w:val="00EE3A26"/>
    <w:rPr>
      <w:rFonts w:ascii="Times New Roman" w:eastAsia="Calibri" w:hAnsi="Times New Roman" w:cs="Times New Roman"/>
      <w:sz w:val="28"/>
      <w:szCs w:val="28"/>
    </w:rPr>
  </w:style>
  <w:style w:type="paragraph" w:customStyle="1" w:styleId="Default">
    <w:name w:val="Default"/>
    <w:rsid w:val="00EE3A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ody Text"/>
    <w:aliases w:val="Основной текст Знак1,Основной текст Знак Знак,Основной текст Знак3 Знак,Основной текст Знак2 Знак Знак,Основной текст Знак1 Знак1 Знак Знак,Основной текст Знак Знак Знак Знак Знак,Основной текст Знак1 Знак Знак Знак Знак Знак Знак"/>
    <w:basedOn w:val="a"/>
    <w:link w:val="a8"/>
    <w:uiPriority w:val="99"/>
    <w:qFormat/>
    <w:rsid w:val="00943A3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aliases w:val="Основной текст Знак1 Знак,Основной текст Знак Знак Знак,Основной текст Знак3 Знак Знак,Основной текст Знак2 Знак Знак Знак,Основной текст Знак1 Знак1 Знак Знак Знак,Основной текст Знак Знак Знак Знак Знак Знак"/>
    <w:basedOn w:val="a0"/>
    <w:link w:val="a7"/>
    <w:uiPriority w:val="99"/>
    <w:rsid w:val="00943A3F"/>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5C7241"/>
    <w:rPr>
      <w:rFonts w:ascii="Times New Roman" w:eastAsia="Times New Roman" w:hAnsi="Times New Roman" w:cs="Times New Roman"/>
      <w:b/>
      <w:sz w:val="28"/>
      <w:szCs w:val="26"/>
      <w:lang w:val="ru-RU"/>
    </w:rPr>
  </w:style>
  <w:style w:type="character" w:customStyle="1" w:styleId="30">
    <w:name w:val="Заголовок 3 Знак"/>
    <w:basedOn w:val="a0"/>
    <w:link w:val="3"/>
    <w:uiPriority w:val="9"/>
    <w:semiHidden/>
    <w:rsid w:val="005C7241"/>
    <w:rPr>
      <w:rFonts w:asciiTheme="majorHAnsi" w:eastAsiaTheme="majorEastAsia" w:hAnsiTheme="majorHAnsi" w:cstheme="majorBidi"/>
      <w:b/>
      <w:bCs/>
      <w:color w:val="4F81BD" w:themeColor="accent1"/>
    </w:rPr>
  </w:style>
  <w:style w:type="paragraph" w:customStyle="1" w:styleId="ZvTxt">
    <w:name w:val="ZvTxt"/>
    <w:basedOn w:val="a"/>
    <w:link w:val="ZvTxt0"/>
    <w:rsid w:val="00F334C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ZvTxt0">
    <w:name w:val="ZvTxt Знак"/>
    <w:basedOn w:val="a0"/>
    <w:link w:val="ZvTxt"/>
    <w:rsid w:val="00F334C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41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1980"/>
    <w:rPr>
      <w:rFonts w:ascii="Tahoma" w:hAnsi="Tahoma" w:cs="Tahoma"/>
      <w:sz w:val="16"/>
      <w:szCs w:val="16"/>
    </w:rPr>
  </w:style>
  <w:style w:type="paragraph" w:customStyle="1" w:styleId="MTDisplayEquation">
    <w:name w:val="MTDisplayEquation"/>
    <w:basedOn w:val="a"/>
    <w:next w:val="a"/>
    <w:link w:val="MTDisplayEquation0"/>
    <w:rsid w:val="00BD46C2"/>
    <w:pPr>
      <w:tabs>
        <w:tab w:val="center" w:pos="4820"/>
        <w:tab w:val="right" w:pos="9640"/>
      </w:tabs>
      <w:suppressAutoHyphens/>
      <w:spacing w:after="0" w:line="240" w:lineRule="auto"/>
      <w:ind w:firstLine="708"/>
      <w:jc w:val="both"/>
    </w:pPr>
    <w:rPr>
      <w:rFonts w:ascii="Times New Roman" w:eastAsia="Times New Roman" w:hAnsi="Times New Roman" w:cs="Times New Roman"/>
      <w:color w:val="000000"/>
      <w:sz w:val="24"/>
      <w:szCs w:val="24"/>
      <w:lang w:eastAsia="uk-UA"/>
    </w:rPr>
  </w:style>
  <w:style w:type="character" w:customStyle="1" w:styleId="MTDisplayEquation0">
    <w:name w:val="MTDisplayEquation Знак"/>
    <w:basedOn w:val="a0"/>
    <w:link w:val="MTDisplayEquation"/>
    <w:locked/>
    <w:rsid w:val="00BD46C2"/>
    <w:rPr>
      <w:rFonts w:ascii="Times New Roman" w:eastAsia="Times New Roman" w:hAnsi="Times New Roman" w:cs="Times New Roman"/>
      <w:color w:val="000000"/>
      <w:sz w:val="24"/>
      <w:szCs w:val="24"/>
      <w:lang w:eastAsia="uk-UA"/>
    </w:rPr>
  </w:style>
  <w:style w:type="paragraph" w:customStyle="1" w:styleId="21">
    <w:name w:val="Абзац списка2"/>
    <w:basedOn w:val="a"/>
    <w:rsid w:val="00D758A3"/>
    <w:pPr>
      <w:suppressAutoHyphens/>
      <w:spacing w:after="0" w:line="240" w:lineRule="auto"/>
      <w:ind w:left="720"/>
    </w:pPr>
    <w:rPr>
      <w:rFonts w:ascii="Times New Roman" w:eastAsia="Calibri" w:hAnsi="Times New Roman" w:cs="Times New Roman"/>
      <w:sz w:val="28"/>
      <w:szCs w:val="28"/>
      <w:lang w:eastAsia="ar-SA"/>
    </w:rPr>
  </w:style>
  <w:style w:type="paragraph" w:styleId="ab">
    <w:name w:val="header"/>
    <w:basedOn w:val="a"/>
    <w:link w:val="ac"/>
    <w:uiPriority w:val="99"/>
    <w:unhideWhenUsed/>
    <w:rsid w:val="00374EF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74EF7"/>
  </w:style>
  <w:style w:type="paragraph" w:styleId="ad">
    <w:name w:val="footer"/>
    <w:basedOn w:val="a"/>
    <w:link w:val="ae"/>
    <w:uiPriority w:val="99"/>
    <w:unhideWhenUsed/>
    <w:rsid w:val="00374EF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74EF7"/>
  </w:style>
  <w:style w:type="character" w:customStyle="1" w:styleId="apple-converted-space">
    <w:name w:val="apple-converted-space"/>
    <w:basedOn w:val="a0"/>
    <w:rsid w:val="000775B9"/>
  </w:style>
  <w:style w:type="character" w:customStyle="1" w:styleId="10">
    <w:name w:val="Заголовок 1 Знак"/>
    <w:basedOn w:val="a0"/>
    <w:link w:val="1"/>
    <w:uiPriority w:val="9"/>
    <w:rsid w:val="00B266A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2C467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C467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26"/>
  </w:style>
  <w:style w:type="paragraph" w:styleId="1">
    <w:name w:val="heading 1"/>
    <w:basedOn w:val="a"/>
    <w:next w:val="a"/>
    <w:link w:val="10"/>
    <w:uiPriority w:val="9"/>
    <w:qFormat/>
    <w:rsid w:val="00B26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3"/>
    <w:link w:val="20"/>
    <w:uiPriority w:val="9"/>
    <w:qFormat/>
    <w:rsid w:val="005C7241"/>
    <w:pPr>
      <w:keepNext/>
      <w:keepLines/>
      <w:spacing w:before="120" w:after="120" w:line="360" w:lineRule="auto"/>
      <w:ind w:firstLine="709"/>
      <w:jc w:val="both"/>
      <w:outlineLvl w:val="1"/>
    </w:pPr>
    <w:rPr>
      <w:rFonts w:ascii="Times New Roman" w:eastAsia="Times New Roman" w:hAnsi="Times New Roman" w:cs="Times New Roman"/>
      <w:b/>
      <w:sz w:val="28"/>
      <w:szCs w:val="26"/>
      <w:lang w:val="ru-RU"/>
    </w:rPr>
  </w:style>
  <w:style w:type="paragraph" w:styleId="3">
    <w:name w:val="heading 3"/>
    <w:basedOn w:val="a"/>
    <w:next w:val="a"/>
    <w:link w:val="30"/>
    <w:uiPriority w:val="9"/>
    <w:semiHidden/>
    <w:unhideWhenUsed/>
    <w:qFormat/>
    <w:rsid w:val="005C7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3A26"/>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а Знак"/>
    <w:basedOn w:val="a0"/>
    <w:link w:val="a3"/>
    <w:uiPriority w:val="34"/>
    <w:rsid w:val="00EE3A26"/>
    <w:rPr>
      <w:rFonts w:ascii="Times New Roman" w:eastAsia="Times New Roman" w:hAnsi="Times New Roman" w:cs="Times New Roman"/>
      <w:sz w:val="24"/>
      <w:szCs w:val="24"/>
      <w:lang w:val="ru-RU" w:eastAsia="ru-RU"/>
    </w:rPr>
  </w:style>
  <w:style w:type="paragraph" w:customStyle="1" w:styleId="a5">
    <w:name w:val="заглавие!!!"/>
    <w:basedOn w:val="a"/>
    <w:link w:val="a6"/>
    <w:qFormat/>
    <w:rsid w:val="00EE3A26"/>
    <w:pPr>
      <w:tabs>
        <w:tab w:val="left" w:pos="0"/>
      </w:tabs>
      <w:spacing w:line="360" w:lineRule="auto"/>
      <w:ind w:left="142" w:firstLine="709"/>
      <w:jc w:val="center"/>
    </w:pPr>
    <w:rPr>
      <w:rFonts w:ascii="Times New Roman" w:eastAsia="Calibri" w:hAnsi="Times New Roman" w:cs="Times New Roman"/>
      <w:sz w:val="28"/>
      <w:szCs w:val="28"/>
    </w:rPr>
  </w:style>
  <w:style w:type="character" w:customStyle="1" w:styleId="a6">
    <w:name w:val="заглавие!!! Знак"/>
    <w:link w:val="a5"/>
    <w:rsid w:val="00EE3A26"/>
    <w:rPr>
      <w:rFonts w:ascii="Times New Roman" w:eastAsia="Calibri" w:hAnsi="Times New Roman" w:cs="Times New Roman"/>
      <w:sz w:val="28"/>
      <w:szCs w:val="28"/>
    </w:rPr>
  </w:style>
  <w:style w:type="paragraph" w:customStyle="1" w:styleId="Default">
    <w:name w:val="Default"/>
    <w:rsid w:val="00EE3A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ody Text"/>
    <w:aliases w:val="Основной текст Знак1,Основной текст Знак Знак,Основной текст Знак3 Знак,Основной текст Знак2 Знак Знак,Основной текст Знак1 Знак1 Знак Знак,Основной текст Знак Знак Знак Знак Знак,Основной текст Знак1 Знак Знак Знак Знак Знак Знак"/>
    <w:basedOn w:val="a"/>
    <w:link w:val="a8"/>
    <w:uiPriority w:val="99"/>
    <w:qFormat/>
    <w:rsid w:val="00943A3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aliases w:val="Основной текст Знак1 Знак,Основной текст Знак Знак Знак,Основной текст Знак3 Знак Знак,Основной текст Знак2 Знак Знак Знак,Основной текст Знак1 Знак1 Знак Знак Знак,Основной текст Знак Знак Знак Знак Знак Знак"/>
    <w:basedOn w:val="a0"/>
    <w:link w:val="a7"/>
    <w:uiPriority w:val="99"/>
    <w:rsid w:val="00943A3F"/>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5C7241"/>
    <w:rPr>
      <w:rFonts w:ascii="Times New Roman" w:eastAsia="Times New Roman" w:hAnsi="Times New Roman" w:cs="Times New Roman"/>
      <w:b/>
      <w:sz w:val="28"/>
      <w:szCs w:val="26"/>
      <w:lang w:val="ru-RU"/>
    </w:rPr>
  </w:style>
  <w:style w:type="character" w:customStyle="1" w:styleId="30">
    <w:name w:val="Заголовок 3 Знак"/>
    <w:basedOn w:val="a0"/>
    <w:link w:val="3"/>
    <w:uiPriority w:val="9"/>
    <w:semiHidden/>
    <w:rsid w:val="005C7241"/>
    <w:rPr>
      <w:rFonts w:asciiTheme="majorHAnsi" w:eastAsiaTheme="majorEastAsia" w:hAnsiTheme="majorHAnsi" w:cstheme="majorBidi"/>
      <w:b/>
      <w:bCs/>
      <w:color w:val="4F81BD" w:themeColor="accent1"/>
    </w:rPr>
  </w:style>
  <w:style w:type="paragraph" w:customStyle="1" w:styleId="ZvTxt">
    <w:name w:val="ZvTxt"/>
    <w:basedOn w:val="a"/>
    <w:link w:val="ZvTxt0"/>
    <w:rsid w:val="00F334C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ZvTxt0">
    <w:name w:val="ZvTxt Знак"/>
    <w:basedOn w:val="a0"/>
    <w:link w:val="ZvTxt"/>
    <w:rsid w:val="00F334C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419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1980"/>
    <w:rPr>
      <w:rFonts w:ascii="Tahoma" w:hAnsi="Tahoma" w:cs="Tahoma"/>
      <w:sz w:val="16"/>
      <w:szCs w:val="16"/>
    </w:rPr>
  </w:style>
  <w:style w:type="paragraph" w:customStyle="1" w:styleId="MTDisplayEquation">
    <w:name w:val="MTDisplayEquation"/>
    <w:basedOn w:val="a"/>
    <w:next w:val="a"/>
    <w:link w:val="MTDisplayEquation0"/>
    <w:rsid w:val="00BD46C2"/>
    <w:pPr>
      <w:tabs>
        <w:tab w:val="center" w:pos="4820"/>
        <w:tab w:val="right" w:pos="9640"/>
      </w:tabs>
      <w:suppressAutoHyphens/>
      <w:spacing w:after="0" w:line="240" w:lineRule="auto"/>
      <w:ind w:firstLine="708"/>
      <w:jc w:val="both"/>
    </w:pPr>
    <w:rPr>
      <w:rFonts w:ascii="Times New Roman" w:eastAsia="Times New Roman" w:hAnsi="Times New Roman" w:cs="Times New Roman"/>
      <w:color w:val="000000"/>
      <w:sz w:val="24"/>
      <w:szCs w:val="24"/>
      <w:lang w:eastAsia="uk-UA"/>
    </w:rPr>
  </w:style>
  <w:style w:type="character" w:customStyle="1" w:styleId="MTDisplayEquation0">
    <w:name w:val="MTDisplayEquation Знак"/>
    <w:basedOn w:val="a0"/>
    <w:link w:val="MTDisplayEquation"/>
    <w:locked/>
    <w:rsid w:val="00BD46C2"/>
    <w:rPr>
      <w:rFonts w:ascii="Times New Roman" w:eastAsia="Times New Roman" w:hAnsi="Times New Roman" w:cs="Times New Roman"/>
      <w:color w:val="000000"/>
      <w:sz w:val="24"/>
      <w:szCs w:val="24"/>
      <w:lang w:eastAsia="uk-UA"/>
    </w:rPr>
  </w:style>
  <w:style w:type="paragraph" w:customStyle="1" w:styleId="21">
    <w:name w:val="Абзац списка2"/>
    <w:basedOn w:val="a"/>
    <w:rsid w:val="00D758A3"/>
    <w:pPr>
      <w:suppressAutoHyphens/>
      <w:spacing w:after="0" w:line="240" w:lineRule="auto"/>
      <w:ind w:left="720"/>
    </w:pPr>
    <w:rPr>
      <w:rFonts w:ascii="Times New Roman" w:eastAsia="Calibri" w:hAnsi="Times New Roman" w:cs="Times New Roman"/>
      <w:sz w:val="28"/>
      <w:szCs w:val="28"/>
      <w:lang w:eastAsia="ar-SA"/>
    </w:rPr>
  </w:style>
  <w:style w:type="paragraph" w:styleId="ab">
    <w:name w:val="header"/>
    <w:basedOn w:val="a"/>
    <w:link w:val="ac"/>
    <w:uiPriority w:val="99"/>
    <w:unhideWhenUsed/>
    <w:rsid w:val="00374EF7"/>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74EF7"/>
  </w:style>
  <w:style w:type="paragraph" w:styleId="ad">
    <w:name w:val="footer"/>
    <w:basedOn w:val="a"/>
    <w:link w:val="ae"/>
    <w:uiPriority w:val="99"/>
    <w:unhideWhenUsed/>
    <w:rsid w:val="00374EF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74EF7"/>
  </w:style>
  <w:style w:type="character" w:customStyle="1" w:styleId="apple-converted-space">
    <w:name w:val="apple-converted-space"/>
    <w:basedOn w:val="a0"/>
    <w:rsid w:val="000775B9"/>
  </w:style>
  <w:style w:type="character" w:customStyle="1" w:styleId="10">
    <w:name w:val="Заголовок 1 Знак"/>
    <w:basedOn w:val="a0"/>
    <w:link w:val="1"/>
    <w:uiPriority w:val="9"/>
    <w:rsid w:val="00B266A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2C467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C467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3079">
      <w:bodyDiv w:val="1"/>
      <w:marLeft w:val="0"/>
      <w:marRight w:val="0"/>
      <w:marTop w:val="0"/>
      <w:marBottom w:val="0"/>
      <w:divBdr>
        <w:top w:val="none" w:sz="0" w:space="0" w:color="auto"/>
        <w:left w:val="none" w:sz="0" w:space="0" w:color="auto"/>
        <w:bottom w:val="none" w:sz="0" w:space="0" w:color="auto"/>
        <w:right w:val="none" w:sz="0" w:space="0" w:color="auto"/>
      </w:divBdr>
    </w:div>
    <w:div w:id="227034851">
      <w:bodyDiv w:val="1"/>
      <w:marLeft w:val="0"/>
      <w:marRight w:val="0"/>
      <w:marTop w:val="0"/>
      <w:marBottom w:val="0"/>
      <w:divBdr>
        <w:top w:val="none" w:sz="0" w:space="0" w:color="auto"/>
        <w:left w:val="none" w:sz="0" w:space="0" w:color="auto"/>
        <w:bottom w:val="none" w:sz="0" w:space="0" w:color="auto"/>
        <w:right w:val="none" w:sz="0" w:space="0" w:color="auto"/>
      </w:divBdr>
    </w:div>
    <w:div w:id="309332573">
      <w:bodyDiv w:val="1"/>
      <w:marLeft w:val="0"/>
      <w:marRight w:val="0"/>
      <w:marTop w:val="0"/>
      <w:marBottom w:val="0"/>
      <w:divBdr>
        <w:top w:val="none" w:sz="0" w:space="0" w:color="auto"/>
        <w:left w:val="none" w:sz="0" w:space="0" w:color="auto"/>
        <w:bottom w:val="none" w:sz="0" w:space="0" w:color="auto"/>
        <w:right w:val="none" w:sz="0" w:space="0" w:color="auto"/>
      </w:divBdr>
      <w:divsChild>
        <w:div w:id="1631662975">
          <w:marLeft w:val="274"/>
          <w:marRight w:val="0"/>
          <w:marTop w:val="0"/>
          <w:marBottom w:val="0"/>
          <w:divBdr>
            <w:top w:val="none" w:sz="0" w:space="0" w:color="auto"/>
            <w:left w:val="none" w:sz="0" w:space="0" w:color="auto"/>
            <w:bottom w:val="none" w:sz="0" w:space="0" w:color="auto"/>
            <w:right w:val="none" w:sz="0" w:space="0" w:color="auto"/>
          </w:divBdr>
        </w:div>
        <w:div w:id="396319537">
          <w:marLeft w:val="274"/>
          <w:marRight w:val="0"/>
          <w:marTop w:val="0"/>
          <w:marBottom w:val="0"/>
          <w:divBdr>
            <w:top w:val="none" w:sz="0" w:space="0" w:color="auto"/>
            <w:left w:val="none" w:sz="0" w:space="0" w:color="auto"/>
            <w:bottom w:val="none" w:sz="0" w:space="0" w:color="auto"/>
            <w:right w:val="none" w:sz="0" w:space="0" w:color="auto"/>
          </w:divBdr>
        </w:div>
        <w:div w:id="378019519">
          <w:marLeft w:val="274"/>
          <w:marRight w:val="0"/>
          <w:marTop w:val="0"/>
          <w:marBottom w:val="0"/>
          <w:divBdr>
            <w:top w:val="none" w:sz="0" w:space="0" w:color="auto"/>
            <w:left w:val="none" w:sz="0" w:space="0" w:color="auto"/>
            <w:bottom w:val="none" w:sz="0" w:space="0" w:color="auto"/>
            <w:right w:val="none" w:sz="0" w:space="0" w:color="auto"/>
          </w:divBdr>
        </w:div>
      </w:divsChild>
    </w:div>
    <w:div w:id="347222229">
      <w:bodyDiv w:val="1"/>
      <w:marLeft w:val="0"/>
      <w:marRight w:val="0"/>
      <w:marTop w:val="0"/>
      <w:marBottom w:val="0"/>
      <w:divBdr>
        <w:top w:val="none" w:sz="0" w:space="0" w:color="auto"/>
        <w:left w:val="none" w:sz="0" w:space="0" w:color="auto"/>
        <w:bottom w:val="none" w:sz="0" w:space="0" w:color="auto"/>
        <w:right w:val="none" w:sz="0" w:space="0" w:color="auto"/>
      </w:divBdr>
    </w:div>
    <w:div w:id="427384855">
      <w:bodyDiv w:val="1"/>
      <w:marLeft w:val="0"/>
      <w:marRight w:val="0"/>
      <w:marTop w:val="0"/>
      <w:marBottom w:val="0"/>
      <w:divBdr>
        <w:top w:val="none" w:sz="0" w:space="0" w:color="auto"/>
        <w:left w:val="none" w:sz="0" w:space="0" w:color="auto"/>
        <w:bottom w:val="none" w:sz="0" w:space="0" w:color="auto"/>
        <w:right w:val="none" w:sz="0" w:space="0" w:color="auto"/>
      </w:divBdr>
    </w:div>
    <w:div w:id="480731233">
      <w:bodyDiv w:val="1"/>
      <w:marLeft w:val="0"/>
      <w:marRight w:val="0"/>
      <w:marTop w:val="0"/>
      <w:marBottom w:val="0"/>
      <w:divBdr>
        <w:top w:val="none" w:sz="0" w:space="0" w:color="auto"/>
        <w:left w:val="none" w:sz="0" w:space="0" w:color="auto"/>
        <w:bottom w:val="none" w:sz="0" w:space="0" w:color="auto"/>
        <w:right w:val="none" w:sz="0" w:space="0" w:color="auto"/>
      </w:divBdr>
    </w:div>
    <w:div w:id="486629126">
      <w:bodyDiv w:val="1"/>
      <w:marLeft w:val="0"/>
      <w:marRight w:val="0"/>
      <w:marTop w:val="0"/>
      <w:marBottom w:val="0"/>
      <w:divBdr>
        <w:top w:val="none" w:sz="0" w:space="0" w:color="auto"/>
        <w:left w:val="none" w:sz="0" w:space="0" w:color="auto"/>
        <w:bottom w:val="none" w:sz="0" w:space="0" w:color="auto"/>
        <w:right w:val="none" w:sz="0" w:space="0" w:color="auto"/>
      </w:divBdr>
    </w:div>
    <w:div w:id="991181552">
      <w:bodyDiv w:val="1"/>
      <w:marLeft w:val="0"/>
      <w:marRight w:val="0"/>
      <w:marTop w:val="0"/>
      <w:marBottom w:val="0"/>
      <w:divBdr>
        <w:top w:val="none" w:sz="0" w:space="0" w:color="auto"/>
        <w:left w:val="none" w:sz="0" w:space="0" w:color="auto"/>
        <w:bottom w:val="none" w:sz="0" w:space="0" w:color="auto"/>
        <w:right w:val="none" w:sz="0" w:space="0" w:color="auto"/>
      </w:divBdr>
    </w:div>
    <w:div w:id="1786463148">
      <w:bodyDiv w:val="1"/>
      <w:marLeft w:val="0"/>
      <w:marRight w:val="0"/>
      <w:marTop w:val="0"/>
      <w:marBottom w:val="0"/>
      <w:divBdr>
        <w:top w:val="none" w:sz="0" w:space="0" w:color="auto"/>
        <w:left w:val="none" w:sz="0" w:space="0" w:color="auto"/>
        <w:bottom w:val="none" w:sz="0" w:space="0" w:color="auto"/>
        <w:right w:val="none" w:sz="0" w:space="0" w:color="auto"/>
      </w:divBdr>
    </w:div>
    <w:div w:id="20791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jpeg"/><Relationship Id="rId87"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hart" Target="charts/chart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80;&#1087;&#1083;&#1086;&#1084;\&#1043;&#1072;&#1079;&#1080;&#1092;&#1110;&#1082;&#1072;&#1094;&#1110;&#1103;_&#1059;&#1050;&#1056;&#1058;&#1045;&#1056;&#1052;&#1054;+&#1057;&#1053;&#1056;_&#1091;&#1082;&#1088;_15.05_&#1087;&#1075;.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4;&#1080;&#1087;&#1083;&#1086;&#1084;\&#1043;&#1072;&#1079;&#1080;&#1092;&#1110;&#1082;&#1072;&#1094;&#1110;&#1103;_&#1059;&#1050;&#1056;&#1058;&#1045;&#1056;&#1052;&#1054;+&#1057;&#1053;&#1056;_&#1091;&#1082;&#1088;_15.05_&#1089;&#1080;&#1085;&#1075;&#1072;&#1079;.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44;&#1080;&#1087;&#1083;&#1086;&#1084;\&#1043;&#1072;&#1079;&#1080;&#1092;&#1110;&#1082;&#1072;&#1094;&#1110;&#1103;_&#1059;&#1050;&#1056;&#1058;&#1045;&#1056;&#1052;&#1054;+&#1057;&#1053;&#1056;_&#1091;&#1082;&#1088;_15.05_&#1089;&#1080;&#1085;&#1075;&#1072;&#107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1722489912641"/>
          <c:y val="3.438642921019882E-2"/>
          <c:w val="0.76216555020174714"/>
          <c:h val="0.75524574608103912"/>
        </c:manualLayout>
      </c:layout>
      <c:lineChart>
        <c:grouping val="standard"/>
        <c:varyColors val="0"/>
        <c:ser>
          <c:idx val="0"/>
          <c:order val="0"/>
          <c:tx>
            <c:strRef>
              <c:f>'LCOE, calc'!$A$20</c:f>
              <c:strCache>
                <c:ptCount val="1"/>
                <c:pt idx="0">
                  <c:v>LCOE, нарізне електропостачання</c:v>
                </c:pt>
              </c:strCache>
            </c:strRef>
          </c:tx>
          <c:val>
            <c:numRef>
              <c:f>'LCOE, calc'!$B$100:$U$100</c:f>
              <c:numCache>
                <c:formatCode>General</c:formatCode>
                <c:ptCount val="20"/>
                <c:pt idx="0">
                  <c:v>1.7482976514341015</c:v>
                </c:pt>
                <c:pt idx="1">
                  <c:v>1.927498160706097</c:v>
                </c:pt>
                <c:pt idx="2">
                  <c:v>2.0238730687414019</c:v>
                </c:pt>
                <c:pt idx="3">
                  <c:v>2.125066722178472</c:v>
                </c:pt>
                <c:pt idx="4">
                  <c:v>2.231320058287396</c:v>
                </c:pt>
                <c:pt idx="5">
                  <c:v>2.342886061201765</c:v>
                </c:pt>
                <c:pt idx="6">
                  <c:v>2.4600303642618542</c:v>
                </c:pt>
                <c:pt idx="7">
                  <c:v>2.5830318824749465</c:v>
                </c:pt>
                <c:pt idx="8">
                  <c:v>2.7121834765986939</c:v>
                </c:pt>
                <c:pt idx="9">
                  <c:v>2.8477926504286284</c:v>
                </c:pt>
                <c:pt idx="10">
                  <c:v>2.9901822829500602</c:v>
                </c:pt>
                <c:pt idx="11">
                  <c:v>3.1396913970975628</c:v>
                </c:pt>
                <c:pt idx="12">
                  <c:v>3.2966759669524413</c:v>
                </c:pt>
                <c:pt idx="13">
                  <c:v>3.4615097653000628</c:v>
                </c:pt>
                <c:pt idx="14">
                  <c:v>3.6345852535650671</c:v>
                </c:pt>
                <c:pt idx="15">
                  <c:v>3.8163145162433199</c:v>
                </c:pt>
                <c:pt idx="16">
                  <c:v>4.007130242055486</c:v>
                </c:pt>
                <c:pt idx="17">
                  <c:v>4.2074867541582606</c:v>
                </c:pt>
                <c:pt idx="18">
                  <c:v>4.4178610918661736</c:v>
                </c:pt>
                <c:pt idx="19">
                  <c:v>4.6387541464594824</c:v>
                </c:pt>
              </c:numCache>
            </c:numRef>
          </c:val>
          <c:smooth val="0"/>
        </c:ser>
        <c:ser>
          <c:idx val="1"/>
          <c:order val="1"/>
          <c:tx>
            <c:strRef>
              <c:f>'LCOE, calc'!$A$14</c:f>
              <c:strCache>
                <c:ptCount val="1"/>
                <c:pt idx="0">
                  <c:v>LCOE, когенерація</c:v>
                </c:pt>
              </c:strCache>
            </c:strRef>
          </c:tx>
          <c:val>
            <c:numRef>
              <c:f>'LCOE, calc'!$B$98:$U$98</c:f>
              <c:numCache>
                <c:formatCode>General</c:formatCode>
                <c:ptCount val="20"/>
                <c:pt idx="0">
                  <c:v>1.1118657157428782</c:v>
                </c:pt>
                <c:pt idx="1">
                  <c:v>1.2258319516065233</c:v>
                </c:pt>
                <c:pt idx="2">
                  <c:v>1.2871235491868496</c:v>
                </c:pt>
                <c:pt idx="3">
                  <c:v>1.3514797266461918</c:v>
                </c:pt>
                <c:pt idx="4">
                  <c:v>1.4190537129785015</c:v>
                </c:pt>
                <c:pt idx="5">
                  <c:v>1.4900063986274263</c:v>
                </c:pt>
                <c:pt idx="6">
                  <c:v>1.5645067185587982</c:v>
                </c:pt>
                <c:pt idx="7">
                  <c:v>1.6427320544867376</c:v>
                </c:pt>
                <c:pt idx="8">
                  <c:v>1.7248686572110747</c:v>
                </c:pt>
                <c:pt idx="9">
                  <c:v>1.8111120900716284</c:v>
                </c:pt>
                <c:pt idx="10">
                  <c:v>1.90166769457521</c:v>
                </c:pt>
                <c:pt idx="11">
                  <c:v>1.9967510793039702</c:v>
                </c:pt>
                <c:pt idx="12">
                  <c:v>2.0965886332691692</c:v>
                </c:pt>
                <c:pt idx="13">
                  <c:v>2.2014180649326271</c:v>
                </c:pt>
                <c:pt idx="14">
                  <c:v>2.3114889681792592</c:v>
                </c:pt>
                <c:pt idx="15">
                  <c:v>2.4270634165882221</c:v>
                </c:pt>
                <c:pt idx="16">
                  <c:v>2.5484165874176332</c:v>
                </c:pt>
                <c:pt idx="17">
                  <c:v>2.6758374167885148</c:v>
                </c:pt>
                <c:pt idx="18">
                  <c:v>2.8096292876279407</c:v>
                </c:pt>
                <c:pt idx="19">
                  <c:v>2.9501107520093375</c:v>
                </c:pt>
              </c:numCache>
            </c:numRef>
          </c:val>
          <c:smooth val="0"/>
        </c:ser>
        <c:ser>
          <c:idx val="3"/>
          <c:order val="3"/>
          <c:tx>
            <c:strRef>
              <c:f>'LCOE, calc'!$A$22</c:f>
              <c:strCache>
                <c:ptCount val="1"/>
                <c:pt idx="0">
                  <c:v>Щорічна собівартість ел.-енергії</c:v>
                </c:pt>
              </c:strCache>
            </c:strRef>
          </c:tx>
          <c:val>
            <c:numRef>
              <c:f>'LCOE, calc'!$B$101:$U$101</c:f>
              <c:numCache>
                <c:formatCode>General</c:formatCode>
                <c:ptCount val="20"/>
                <c:pt idx="0">
                  <c:v>5.0188570254269491</c:v>
                </c:pt>
                <c:pt idx="1">
                  <c:v>4.7061112429131029</c:v>
                </c:pt>
                <c:pt idx="2">
                  <c:v>4.420262986500167</c:v>
                </c:pt>
                <c:pt idx="3">
                  <c:v>4.1592051170444382</c:v>
                </c:pt>
                <c:pt idx="4">
                  <c:v>3.9210163948571175</c:v>
                </c:pt>
                <c:pt idx="5">
                  <c:v>3.296512505066322</c:v>
                </c:pt>
                <c:pt idx="6">
                  <c:v>3.1120225446736813</c:v>
                </c:pt>
                <c:pt idx="7">
                  <c:v>2.9441324820436838</c:v>
                </c:pt>
                <c:pt idx="8">
                  <c:v>2.7915799597921516</c:v>
                </c:pt>
                <c:pt idx="9">
                  <c:v>2.6532173252513638</c:v>
                </c:pt>
                <c:pt idx="10">
                  <c:v>2.2499225145021255</c:v>
                </c:pt>
                <c:pt idx="11">
                  <c:v>2.1433677512067124</c:v>
                </c:pt>
                <c:pt idx="12">
                  <c:v>2.047155487912939</c:v>
                </c:pt>
                <c:pt idx="13">
                  <c:v>1.9605367024743106</c:v>
                </c:pt>
                <c:pt idx="14">
                  <c:v>1.882833815674452</c:v>
                </c:pt>
                <c:pt idx="15">
                  <c:v>1.6139576448720814</c:v>
                </c:pt>
                <c:pt idx="16">
                  <c:v>1.5547605363492039</c:v>
                </c:pt>
                <c:pt idx="17">
                  <c:v>1.5021035934017066</c:v>
                </c:pt>
                <c:pt idx="18">
                  <c:v>1.4555497242287458</c:v>
                </c:pt>
                <c:pt idx="19">
                  <c:v>1.4147069917506905</c:v>
                </c:pt>
              </c:numCache>
            </c:numRef>
          </c:val>
          <c:smooth val="0"/>
        </c:ser>
        <c:dLbls>
          <c:showLegendKey val="0"/>
          <c:showVal val="0"/>
          <c:showCatName val="0"/>
          <c:showSerName val="0"/>
          <c:showPercent val="0"/>
          <c:showBubbleSize val="0"/>
        </c:dLbls>
        <c:marker val="1"/>
        <c:smooth val="0"/>
        <c:axId val="171321984"/>
        <c:axId val="171328256"/>
      </c:lineChart>
      <c:lineChart>
        <c:grouping val="standard"/>
        <c:varyColors val="0"/>
        <c:ser>
          <c:idx val="2"/>
          <c:order val="2"/>
          <c:tx>
            <c:strRef>
              <c:f>'LCOE, calc'!$A$18</c:f>
              <c:strCache>
                <c:ptCount val="1"/>
                <c:pt idx="0">
                  <c:v>LCOH, когенерація (грн/Гкал)</c:v>
                </c:pt>
              </c:strCache>
            </c:strRef>
          </c:tx>
          <c:val>
            <c:numRef>
              <c:f>'LCOE, calc'!$B$99:$U$99</c:f>
              <c:numCache>
                <c:formatCode>General</c:formatCode>
                <c:ptCount val="20"/>
                <c:pt idx="0">
                  <c:v>742.62769625580347</c:v>
                </c:pt>
                <c:pt idx="1">
                  <c:v>818.74703512202336</c:v>
                </c:pt>
                <c:pt idx="2">
                  <c:v>859.68438687812454</c:v>
                </c:pt>
                <c:pt idx="3">
                  <c:v>902.66860622203069</c:v>
                </c:pt>
                <c:pt idx="4">
                  <c:v>947.80203653313242</c:v>
                </c:pt>
                <c:pt idx="5">
                  <c:v>995.19213835978894</c:v>
                </c:pt>
                <c:pt idx="6">
                  <c:v>1044.9517452777784</c:v>
                </c:pt>
                <c:pt idx="7">
                  <c:v>1097.1993325416672</c:v>
                </c:pt>
                <c:pt idx="8">
                  <c:v>1152.0592991687508</c:v>
                </c:pt>
                <c:pt idx="9">
                  <c:v>1209.6622641271883</c:v>
                </c:pt>
                <c:pt idx="10">
                  <c:v>1270.1453773335477</c:v>
                </c:pt>
                <c:pt idx="11">
                  <c:v>1333.6526462002248</c:v>
                </c:pt>
                <c:pt idx="12">
                  <c:v>1400.3352785102363</c:v>
                </c:pt>
                <c:pt idx="13">
                  <c:v>1470.3520424357478</c:v>
                </c:pt>
                <c:pt idx="14">
                  <c:v>1543.8696445575358</c:v>
                </c:pt>
                <c:pt idx="15">
                  <c:v>1621.0631267854124</c:v>
                </c:pt>
                <c:pt idx="16">
                  <c:v>1702.1162831246834</c:v>
                </c:pt>
                <c:pt idx="17">
                  <c:v>1787.2220972809175</c:v>
                </c:pt>
                <c:pt idx="18">
                  <c:v>1876.5832021449633</c:v>
                </c:pt>
                <c:pt idx="19">
                  <c:v>1970.4123622522113</c:v>
                </c:pt>
              </c:numCache>
            </c:numRef>
          </c:val>
          <c:smooth val="0"/>
        </c:ser>
        <c:dLbls>
          <c:showLegendKey val="0"/>
          <c:showVal val="0"/>
          <c:showCatName val="0"/>
          <c:showSerName val="0"/>
          <c:showPercent val="0"/>
          <c:showBubbleSize val="0"/>
        </c:dLbls>
        <c:marker val="1"/>
        <c:smooth val="0"/>
        <c:axId val="171332352"/>
        <c:axId val="171330176"/>
      </c:lineChart>
      <c:catAx>
        <c:axId val="171321984"/>
        <c:scaling>
          <c:orientation val="minMax"/>
        </c:scaling>
        <c:delete val="0"/>
        <c:axPos val="b"/>
        <c:title>
          <c:tx>
            <c:rich>
              <a:bodyPr/>
              <a:lstStyle/>
              <a:p>
                <a:pPr>
                  <a:defRPr sz="1100"/>
                </a:pPr>
                <a:r>
                  <a:rPr lang="uk-UA" sz="1100"/>
                  <a:t>Рік експлуатації </a:t>
                </a:r>
              </a:p>
            </c:rich>
          </c:tx>
          <c:layout>
            <c:manualLayout>
              <c:xMode val="edge"/>
              <c:yMode val="edge"/>
              <c:x val="0.46649743408939554"/>
              <c:y val="0.72165433934729628"/>
            </c:manualLayout>
          </c:layout>
          <c:overlay val="0"/>
        </c:title>
        <c:majorTickMark val="out"/>
        <c:minorTickMark val="none"/>
        <c:tickLblPos val="nextTo"/>
        <c:crossAx val="171328256"/>
        <c:crosses val="autoZero"/>
        <c:auto val="1"/>
        <c:lblAlgn val="ctr"/>
        <c:lblOffset val="100"/>
        <c:noMultiLvlLbl val="0"/>
      </c:catAx>
      <c:valAx>
        <c:axId val="171328256"/>
        <c:scaling>
          <c:orientation val="minMax"/>
        </c:scaling>
        <c:delete val="0"/>
        <c:axPos val="l"/>
        <c:majorGridlines/>
        <c:title>
          <c:tx>
            <c:rich>
              <a:bodyPr/>
              <a:lstStyle/>
              <a:p>
                <a:pPr>
                  <a:defRPr sz="1100"/>
                </a:pPr>
                <a:r>
                  <a:rPr lang="uk-UA" sz="1100"/>
                  <a:t>Грн</a:t>
                </a:r>
                <a:r>
                  <a:rPr lang="en-US" sz="1100"/>
                  <a:t>/</a:t>
                </a:r>
                <a:r>
                  <a:rPr lang="uk-UA" sz="1100"/>
                  <a:t>кВт∙год</a:t>
                </a:r>
              </a:p>
            </c:rich>
          </c:tx>
          <c:overlay val="0"/>
        </c:title>
        <c:numFmt formatCode="General" sourceLinked="1"/>
        <c:majorTickMark val="out"/>
        <c:minorTickMark val="none"/>
        <c:tickLblPos val="nextTo"/>
        <c:crossAx val="171321984"/>
        <c:crosses val="autoZero"/>
        <c:crossBetween val="between"/>
        <c:majorUnit val="0.5"/>
      </c:valAx>
      <c:valAx>
        <c:axId val="171330176"/>
        <c:scaling>
          <c:orientation val="minMax"/>
          <c:max val="2000"/>
        </c:scaling>
        <c:delete val="0"/>
        <c:axPos val="r"/>
        <c:title>
          <c:tx>
            <c:rich>
              <a:bodyPr rot="-5400000" vert="horz"/>
              <a:lstStyle/>
              <a:p>
                <a:pPr>
                  <a:defRPr sz="1200"/>
                </a:pPr>
                <a:r>
                  <a:rPr lang="uk-UA" sz="1200"/>
                  <a:t>грн</a:t>
                </a:r>
                <a:r>
                  <a:rPr lang="en-US" sz="1200"/>
                  <a:t>/</a:t>
                </a:r>
                <a:r>
                  <a:rPr lang="uk-UA" sz="1200"/>
                  <a:t>Гкал</a:t>
                </a:r>
              </a:p>
            </c:rich>
          </c:tx>
          <c:layout>
            <c:manualLayout>
              <c:xMode val="edge"/>
              <c:yMode val="edge"/>
              <c:x val="0.95307885768010348"/>
              <c:y val="0.33640937121769887"/>
            </c:manualLayout>
          </c:layout>
          <c:overlay val="0"/>
        </c:title>
        <c:numFmt formatCode="General" sourceLinked="1"/>
        <c:majorTickMark val="out"/>
        <c:minorTickMark val="none"/>
        <c:tickLblPos val="nextTo"/>
        <c:crossAx val="171332352"/>
        <c:crosses val="max"/>
        <c:crossBetween val="between"/>
      </c:valAx>
      <c:catAx>
        <c:axId val="171332352"/>
        <c:scaling>
          <c:orientation val="minMax"/>
        </c:scaling>
        <c:delete val="1"/>
        <c:axPos val="b"/>
        <c:majorTickMark val="out"/>
        <c:minorTickMark val="none"/>
        <c:tickLblPos val="nextTo"/>
        <c:crossAx val="171330176"/>
        <c:crosses val="autoZero"/>
        <c:auto val="1"/>
        <c:lblAlgn val="ctr"/>
        <c:lblOffset val="100"/>
        <c:noMultiLvlLbl val="0"/>
      </c:catAx>
    </c:plotArea>
    <c:legend>
      <c:legendPos val="b"/>
      <c:layout>
        <c:manualLayout>
          <c:xMode val="edge"/>
          <c:yMode val="edge"/>
          <c:x val="7.8965174129353249E-2"/>
          <c:y val="0.8665386501640161"/>
          <c:w val="0.80425870646766173"/>
          <c:h val="0.11487830912863829"/>
        </c:manualLayout>
      </c:layout>
      <c:overlay val="0"/>
      <c:txPr>
        <a:bodyPr/>
        <a:lstStyle/>
        <a:p>
          <a:pPr>
            <a:defRPr sz="1100" b="1"/>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1722489912641"/>
          <c:y val="3.438642921019882E-2"/>
          <c:w val="0.76216555020174714"/>
          <c:h val="0.75524574608103912"/>
        </c:manualLayout>
      </c:layout>
      <c:lineChart>
        <c:grouping val="standard"/>
        <c:varyColors val="0"/>
        <c:ser>
          <c:idx val="0"/>
          <c:order val="0"/>
          <c:tx>
            <c:strRef>
              <c:f>'LCOE, calc'!$A$20</c:f>
              <c:strCache>
                <c:ptCount val="1"/>
                <c:pt idx="0">
                  <c:v>LCOE, нарізне електропостачання</c:v>
                </c:pt>
              </c:strCache>
            </c:strRef>
          </c:tx>
          <c:val>
            <c:numRef>
              <c:f>'LCOE mix'!$B$63:$U$63</c:f>
              <c:numCache>
                <c:formatCode>General</c:formatCode>
                <c:ptCount val="20"/>
                <c:pt idx="0">
                  <c:v>1.0720309632306151</c:v>
                </c:pt>
                <c:pt idx="1">
                  <c:v>1.1819141369617532</c:v>
                </c:pt>
                <c:pt idx="2">
                  <c:v>1.2410098438098409</c:v>
                </c:pt>
                <c:pt idx="3">
                  <c:v>1.3030603360003328</c:v>
                </c:pt>
                <c:pt idx="4">
                  <c:v>1.3682133528003495</c:v>
                </c:pt>
                <c:pt idx="5">
                  <c:v>1.4366240204403669</c:v>
                </c:pt>
                <c:pt idx="6">
                  <c:v>1.5084552214623854</c:v>
                </c:pt>
                <c:pt idx="7">
                  <c:v>1.5838779825355045</c:v>
                </c:pt>
                <c:pt idx="8">
                  <c:v>1.66307188166228</c:v>
                </c:pt>
                <c:pt idx="9">
                  <c:v>1.7462254757453939</c:v>
                </c:pt>
                <c:pt idx="10">
                  <c:v>1.8335367495326638</c:v>
                </c:pt>
                <c:pt idx="11">
                  <c:v>1.9252135870092966</c:v>
                </c:pt>
                <c:pt idx="12">
                  <c:v>2.0214742663597618</c:v>
                </c:pt>
                <c:pt idx="13">
                  <c:v>2.1225479796777496</c:v>
                </c:pt>
                <c:pt idx="14">
                  <c:v>2.2286753786616376</c:v>
                </c:pt>
                <c:pt idx="15">
                  <c:v>2.3401091475947196</c:v>
                </c:pt>
                <c:pt idx="16">
                  <c:v>2.4571146049744552</c:v>
                </c:pt>
                <c:pt idx="17">
                  <c:v>2.5799703352231784</c:v>
                </c:pt>
                <c:pt idx="18">
                  <c:v>2.7089688519843373</c:v>
                </c:pt>
                <c:pt idx="19">
                  <c:v>2.844417294583554</c:v>
                </c:pt>
              </c:numCache>
            </c:numRef>
          </c:val>
          <c:smooth val="0"/>
        </c:ser>
        <c:ser>
          <c:idx val="1"/>
          <c:order val="1"/>
          <c:tx>
            <c:strRef>
              <c:f>'LCOE, calc'!$A$14</c:f>
              <c:strCache>
                <c:ptCount val="1"/>
                <c:pt idx="0">
                  <c:v>LCOE, когенерація</c:v>
                </c:pt>
              </c:strCache>
            </c:strRef>
          </c:tx>
          <c:val>
            <c:numRef>
              <c:f>'LCOE mix'!$B$64:$U$64</c:f>
              <c:numCache>
                <c:formatCode>General</c:formatCode>
                <c:ptCount val="20"/>
                <c:pt idx="0">
                  <c:v>0.68178005801997887</c:v>
                </c:pt>
                <c:pt idx="1">
                  <c:v>0.75166251396702677</c:v>
                </c:pt>
                <c:pt idx="2">
                  <c:v>0.78924563966537808</c:v>
                </c:pt>
                <c:pt idx="3">
                  <c:v>0.82870792164864682</c:v>
                </c:pt>
                <c:pt idx="4">
                  <c:v>0.87014331773107922</c:v>
                </c:pt>
                <c:pt idx="5">
                  <c:v>0.91365048361763312</c:v>
                </c:pt>
                <c:pt idx="6">
                  <c:v>0.95933300779851494</c:v>
                </c:pt>
                <c:pt idx="7">
                  <c:v>1.0072996581884408</c:v>
                </c:pt>
                <c:pt idx="8">
                  <c:v>1.0576646410978627</c:v>
                </c:pt>
                <c:pt idx="9">
                  <c:v>1.1105478731527558</c:v>
                </c:pt>
                <c:pt idx="10">
                  <c:v>1.1660752668103938</c:v>
                </c:pt>
                <c:pt idx="11">
                  <c:v>1.2243790301509132</c:v>
                </c:pt>
                <c:pt idx="12">
                  <c:v>1.2855979816584591</c:v>
                </c:pt>
                <c:pt idx="13">
                  <c:v>1.3498778807413818</c:v>
                </c:pt>
                <c:pt idx="14">
                  <c:v>1.4173717747784513</c:v>
                </c:pt>
                <c:pt idx="15">
                  <c:v>1.4882403635173738</c:v>
                </c:pt>
                <c:pt idx="16">
                  <c:v>1.5626523816932427</c:v>
                </c:pt>
                <c:pt idx="17">
                  <c:v>1.6407850007779048</c:v>
                </c:pt>
                <c:pt idx="18">
                  <c:v>1.7228242508168001</c:v>
                </c:pt>
                <c:pt idx="19">
                  <c:v>1.80896546335764</c:v>
                </c:pt>
              </c:numCache>
            </c:numRef>
          </c:val>
          <c:smooth val="0"/>
        </c:ser>
        <c:ser>
          <c:idx val="3"/>
          <c:order val="3"/>
          <c:tx>
            <c:strRef>
              <c:f>'LCOE, calc'!$A$22</c:f>
              <c:strCache>
                <c:ptCount val="1"/>
                <c:pt idx="0">
                  <c:v>Щорічна собівартість ел.-енергії</c:v>
                </c:pt>
              </c:strCache>
            </c:strRef>
          </c:tx>
          <c:val>
            <c:numRef>
              <c:f>'LCOE mix'!$B$65:$U$65</c:f>
              <c:numCache>
                <c:formatCode>General</c:formatCode>
                <c:ptCount val="20"/>
                <c:pt idx="0">
                  <c:v>2.6579411761978595</c:v>
                </c:pt>
                <c:pt idx="1">
                  <c:v>2.5314267689286325</c:v>
                </c:pt>
                <c:pt idx="2">
                  <c:v>2.4171628866859183</c:v>
                </c:pt>
                <c:pt idx="3">
                  <c:v>2.3142609756532218</c:v>
                </c:pt>
                <c:pt idx="4">
                  <c:v>2.2219171058582106</c:v>
                </c:pt>
                <c:pt idx="5">
                  <c:v>1.9040712296346762</c:v>
                </c:pt>
                <c:pt idx="6">
                  <c:v>1.8336943770915421</c:v>
                </c:pt>
                <c:pt idx="7">
                  <c:v>1.7710607791459632</c:v>
                </c:pt>
                <c:pt idx="8">
                  <c:v>1.7156516428349697</c:v>
                </c:pt>
                <c:pt idx="9">
                  <c:v>1.6670016371130689</c:v>
                </c:pt>
                <c:pt idx="10">
                  <c:v>1.4459789426774805</c:v>
                </c:pt>
                <c:pt idx="11">
                  <c:v>1.409714314591493</c:v>
                </c:pt>
                <c:pt idx="12">
                  <c:v>1.3784540790113322</c:v>
                </c:pt>
                <c:pt idx="13">
                  <c:v>1.3519041297330514</c:v>
                </c:pt>
                <c:pt idx="14">
                  <c:v>1.3298048867925802</c:v>
                </c:pt>
                <c:pt idx="15">
                  <c:v>1.1676172115508421</c:v>
                </c:pt>
                <c:pt idx="16">
                  <c:v>1.1520810220848201</c:v>
                </c:pt>
                <c:pt idx="17">
                  <c:v>1.1398849438981611</c:v>
                </c:pt>
                <c:pt idx="18">
                  <c:v>1.1308714026539322</c:v>
                </c:pt>
                <c:pt idx="19">
                  <c:v>1.1249058439098552</c:v>
                </c:pt>
              </c:numCache>
            </c:numRef>
          </c:val>
          <c:smooth val="0"/>
        </c:ser>
        <c:dLbls>
          <c:showLegendKey val="0"/>
          <c:showVal val="0"/>
          <c:showCatName val="0"/>
          <c:showSerName val="0"/>
          <c:showPercent val="0"/>
          <c:showBubbleSize val="0"/>
        </c:dLbls>
        <c:marker val="1"/>
        <c:smooth val="0"/>
        <c:axId val="171360256"/>
        <c:axId val="171362176"/>
      </c:lineChart>
      <c:lineChart>
        <c:grouping val="standard"/>
        <c:varyColors val="0"/>
        <c:ser>
          <c:idx val="2"/>
          <c:order val="2"/>
          <c:tx>
            <c:strRef>
              <c:f>'LCOE, calc'!$A$18</c:f>
              <c:strCache>
                <c:ptCount val="1"/>
                <c:pt idx="0">
                  <c:v>LCOH, когенерація (грн/Гкал)</c:v>
                </c:pt>
              </c:strCache>
            </c:strRef>
          </c:tx>
          <c:val>
            <c:numRef>
              <c:f>'LCOE mix'!$B$62:$U$62</c:f>
              <c:numCache>
                <c:formatCode>General</c:formatCode>
                <c:ptCount val="20"/>
                <c:pt idx="0">
                  <c:v>455.3686175153278</c:v>
                </c:pt>
                <c:pt idx="1">
                  <c:v>502.04390081064895</c:v>
                </c:pt>
                <c:pt idx="2">
                  <c:v>527.14609585118137</c:v>
                </c:pt>
                <c:pt idx="3">
                  <c:v>553.50340064374041</c:v>
                </c:pt>
                <c:pt idx="4">
                  <c:v>581.1785706759274</c:v>
                </c:pt>
                <c:pt idx="5">
                  <c:v>610.23749920972386</c:v>
                </c:pt>
                <c:pt idx="6">
                  <c:v>640.7493741702101</c:v>
                </c:pt>
                <c:pt idx="7">
                  <c:v>672.78684287872056</c:v>
                </c:pt>
                <c:pt idx="8">
                  <c:v>706.42618502265657</c:v>
                </c:pt>
                <c:pt idx="9">
                  <c:v>741.74749427378947</c:v>
                </c:pt>
                <c:pt idx="10">
                  <c:v>778.8348689874789</c:v>
                </c:pt>
                <c:pt idx="11">
                  <c:v>817.77661243685282</c:v>
                </c:pt>
                <c:pt idx="12">
                  <c:v>858.66544305869559</c:v>
                </c:pt>
                <c:pt idx="13">
                  <c:v>901.59871521163006</c:v>
                </c:pt>
                <c:pt idx="14">
                  <c:v>946.67865097221193</c:v>
                </c:pt>
                <c:pt idx="15">
                  <c:v>994.01258352082243</c:v>
                </c:pt>
                <c:pt idx="16">
                  <c:v>1043.7132126968638</c:v>
                </c:pt>
                <c:pt idx="17">
                  <c:v>1095.8988733317069</c:v>
                </c:pt>
                <c:pt idx="18">
                  <c:v>1150.6938169982923</c:v>
                </c:pt>
                <c:pt idx="19">
                  <c:v>1208.2285078482066</c:v>
                </c:pt>
              </c:numCache>
            </c:numRef>
          </c:val>
          <c:smooth val="0"/>
        </c:ser>
        <c:dLbls>
          <c:showLegendKey val="0"/>
          <c:showVal val="0"/>
          <c:showCatName val="0"/>
          <c:showSerName val="0"/>
          <c:showPercent val="0"/>
          <c:showBubbleSize val="0"/>
        </c:dLbls>
        <c:marker val="1"/>
        <c:smooth val="0"/>
        <c:axId val="171366272"/>
        <c:axId val="171364352"/>
      </c:lineChart>
      <c:catAx>
        <c:axId val="171360256"/>
        <c:scaling>
          <c:orientation val="minMax"/>
        </c:scaling>
        <c:delete val="0"/>
        <c:axPos val="b"/>
        <c:title>
          <c:tx>
            <c:rich>
              <a:bodyPr/>
              <a:lstStyle/>
              <a:p>
                <a:pPr>
                  <a:defRPr sz="1100"/>
                </a:pPr>
                <a:r>
                  <a:rPr lang="uk-UA" sz="1100"/>
                  <a:t>Рік експлуатації </a:t>
                </a:r>
              </a:p>
            </c:rich>
          </c:tx>
          <c:layout>
            <c:manualLayout>
              <c:xMode val="edge"/>
              <c:yMode val="edge"/>
              <c:x val="0.46649743408939554"/>
              <c:y val="0.72165433934729628"/>
            </c:manualLayout>
          </c:layout>
          <c:overlay val="0"/>
        </c:title>
        <c:majorTickMark val="out"/>
        <c:minorTickMark val="none"/>
        <c:tickLblPos val="nextTo"/>
        <c:crossAx val="171362176"/>
        <c:crosses val="autoZero"/>
        <c:auto val="1"/>
        <c:lblAlgn val="ctr"/>
        <c:lblOffset val="100"/>
        <c:noMultiLvlLbl val="0"/>
      </c:catAx>
      <c:valAx>
        <c:axId val="171362176"/>
        <c:scaling>
          <c:orientation val="minMax"/>
          <c:max val="4"/>
        </c:scaling>
        <c:delete val="0"/>
        <c:axPos val="l"/>
        <c:majorGridlines/>
        <c:title>
          <c:tx>
            <c:rich>
              <a:bodyPr/>
              <a:lstStyle/>
              <a:p>
                <a:pPr>
                  <a:defRPr sz="1100"/>
                </a:pPr>
                <a:r>
                  <a:rPr lang="ru-RU" sz="1100" u="none"/>
                  <a:t>Грн</a:t>
                </a:r>
                <a:r>
                  <a:rPr lang="en-US" sz="1100"/>
                  <a:t>/</a:t>
                </a:r>
                <a:r>
                  <a:rPr lang="uk-UA" sz="1100"/>
                  <a:t>кВт∙год</a:t>
                </a:r>
              </a:p>
            </c:rich>
          </c:tx>
          <c:overlay val="0"/>
        </c:title>
        <c:numFmt formatCode="General" sourceLinked="1"/>
        <c:majorTickMark val="out"/>
        <c:minorTickMark val="none"/>
        <c:tickLblPos val="nextTo"/>
        <c:crossAx val="171360256"/>
        <c:crosses val="autoZero"/>
        <c:crossBetween val="between"/>
      </c:valAx>
      <c:valAx>
        <c:axId val="171364352"/>
        <c:scaling>
          <c:orientation val="minMax"/>
          <c:max val="1500"/>
        </c:scaling>
        <c:delete val="0"/>
        <c:axPos val="r"/>
        <c:title>
          <c:tx>
            <c:rich>
              <a:bodyPr rot="-5400000" vert="horz"/>
              <a:lstStyle/>
              <a:p>
                <a:pPr>
                  <a:defRPr sz="1200"/>
                </a:pPr>
                <a:r>
                  <a:rPr lang="uk-UA" sz="1200"/>
                  <a:t>грн</a:t>
                </a:r>
                <a:r>
                  <a:rPr lang="en-US" sz="1200"/>
                  <a:t>/</a:t>
                </a:r>
                <a:r>
                  <a:rPr lang="uk-UA" sz="1200"/>
                  <a:t>Гкал</a:t>
                </a:r>
              </a:p>
            </c:rich>
          </c:tx>
          <c:layout>
            <c:manualLayout>
              <c:xMode val="edge"/>
              <c:yMode val="edge"/>
              <c:x val="0.95307885768010348"/>
              <c:y val="0.33640937121769887"/>
            </c:manualLayout>
          </c:layout>
          <c:overlay val="0"/>
        </c:title>
        <c:numFmt formatCode="General" sourceLinked="1"/>
        <c:majorTickMark val="out"/>
        <c:minorTickMark val="none"/>
        <c:tickLblPos val="nextTo"/>
        <c:crossAx val="171366272"/>
        <c:crosses val="max"/>
        <c:crossBetween val="between"/>
      </c:valAx>
      <c:catAx>
        <c:axId val="171366272"/>
        <c:scaling>
          <c:orientation val="minMax"/>
        </c:scaling>
        <c:delete val="1"/>
        <c:axPos val="b"/>
        <c:majorTickMark val="out"/>
        <c:minorTickMark val="none"/>
        <c:tickLblPos val="nextTo"/>
        <c:crossAx val="171364352"/>
        <c:crosses val="autoZero"/>
        <c:auto val="1"/>
        <c:lblAlgn val="ctr"/>
        <c:lblOffset val="100"/>
        <c:noMultiLvlLbl val="0"/>
      </c:catAx>
    </c:plotArea>
    <c:legend>
      <c:legendPos val="b"/>
      <c:layout>
        <c:manualLayout>
          <c:xMode val="edge"/>
          <c:yMode val="edge"/>
          <c:x val="7.8965174129353249E-2"/>
          <c:y val="0.8665386501640161"/>
          <c:w val="0.80425870646766173"/>
          <c:h val="0.11487830912863829"/>
        </c:manualLayout>
      </c:layout>
      <c:overlay val="0"/>
      <c:txPr>
        <a:bodyPr/>
        <a:lstStyle/>
        <a:p>
          <a:pPr>
            <a:defRPr sz="1100" b="1"/>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i="1" baseline="0"/>
              <a:t>LCOE</a:t>
            </a:r>
            <a:r>
              <a:rPr lang="en-US" baseline="0"/>
              <a:t> </a:t>
            </a:r>
            <a:r>
              <a:rPr lang="ru-RU" baseline="0"/>
              <a:t>когенерація при різному складі палива</a:t>
            </a:r>
            <a:endParaRPr lang="uk-UA"/>
          </a:p>
        </c:rich>
      </c:tx>
      <c:overlay val="0"/>
    </c:title>
    <c:autoTitleDeleted val="0"/>
    <c:plotArea>
      <c:layout>
        <c:manualLayout>
          <c:layoutTarget val="inner"/>
          <c:xMode val="edge"/>
          <c:yMode val="edge"/>
          <c:x val="0.10678270479347976"/>
          <c:y val="0.17542562498836581"/>
          <c:w val="0.66259920923824778"/>
          <c:h val="0.67307550044850684"/>
        </c:manualLayout>
      </c:layout>
      <c:lineChart>
        <c:grouping val="standard"/>
        <c:varyColors val="0"/>
        <c:ser>
          <c:idx val="1"/>
          <c:order val="0"/>
          <c:tx>
            <c:strRef>
              <c:f>'LCOE mix'!$A$11</c:f>
              <c:strCache>
                <c:ptCount val="1"/>
                <c:pt idx="0">
                  <c:v>0/100</c:v>
                </c:pt>
              </c:strCache>
            </c:strRef>
          </c:tx>
          <c:marker>
            <c:symbol val="none"/>
          </c:marker>
          <c:val>
            <c:numRef>
              <c:f>'LCOE mix'!$B$15:$U$15</c:f>
              <c:numCache>
                <c:formatCode>General</c:formatCode>
                <c:ptCount val="20"/>
                <c:pt idx="0">
                  <c:v>1.1368358345929699</c:v>
                </c:pt>
                <c:pt idx="1">
                  <c:v>1.2533615076387494</c:v>
                </c:pt>
                <c:pt idx="2">
                  <c:v>1.316029583020687</c:v>
                </c:pt>
                <c:pt idx="3">
                  <c:v>1.3818310621717211</c:v>
                </c:pt>
                <c:pt idx="4">
                  <c:v>1.4509226152803074</c:v>
                </c:pt>
                <c:pt idx="5">
                  <c:v>1.5234687460443226</c:v>
                </c:pt>
                <c:pt idx="6">
                  <c:v>1.5996421833465388</c:v>
                </c:pt>
                <c:pt idx="7">
                  <c:v>1.6796242925138656</c:v>
                </c:pt>
                <c:pt idx="8">
                  <c:v>1.7636055071395589</c:v>
                </c:pt>
                <c:pt idx="9">
                  <c:v>1.8517857824965371</c:v>
                </c:pt>
                <c:pt idx="10">
                  <c:v>1.9443750716213639</c:v>
                </c:pt>
                <c:pt idx="11">
                  <c:v>2.0415938252024319</c:v>
                </c:pt>
                <c:pt idx="12">
                  <c:v>2.1436735164625538</c:v>
                </c:pt>
                <c:pt idx="13">
                  <c:v>2.250857192285681</c:v>
                </c:pt>
                <c:pt idx="14">
                  <c:v>2.3634000518999656</c:v>
                </c:pt>
                <c:pt idx="15">
                  <c:v>2.4815700544949637</c:v>
                </c:pt>
                <c:pt idx="16">
                  <c:v>2.6056485572197126</c:v>
                </c:pt>
                <c:pt idx="17">
                  <c:v>2.7359309850806981</c:v>
                </c:pt>
                <c:pt idx="18">
                  <c:v>2.8727275343347332</c:v>
                </c:pt>
                <c:pt idx="19">
                  <c:v>3.0163639110514695</c:v>
                </c:pt>
              </c:numCache>
            </c:numRef>
          </c:val>
          <c:smooth val="0"/>
        </c:ser>
        <c:ser>
          <c:idx val="4"/>
          <c:order val="1"/>
          <c:tx>
            <c:strRef>
              <c:f>'LCOE mix'!$A$12</c:f>
              <c:strCache>
                <c:ptCount val="1"/>
                <c:pt idx="0">
                  <c:v>50/50</c:v>
                </c:pt>
              </c:strCache>
            </c:strRef>
          </c:tx>
          <c:marker>
            <c:symbol val="none"/>
          </c:marker>
          <c:val>
            <c:numRef>
              <c:f>'LCOE mix'!$B$12:$U$12</c:f>
              <c:numCache>
                <c:formatCode>General</c:formatCode>
                <c:ptCount val="20"/>
                <c:pt idx="0">
                  <c:v>0.90930794630647449</c:v>
                </c:pt>
                <c:pt idx="1">
                  <c:v>1.002512010802888</c:v>
                </c:pt>
                <c:pt idx="2">
                  <c:v>1.0526376113430325</c:v>
                </c:pt>
                <c:pt idx="3">
                  <c:v>1.1052694919101842</c:v>
                </c:pt>
                <c:pt idx="4">
                  <c:v>1.1605329665056936</c:v>
                </c:pt>
                <c:pt idx="5">
                  <c:v>1.2185596148309781</c:v>
                </c:pt>
                <c:pt idx="6">
                  <c:v>1.2794875955725271</c:v>
                </c:pt>
                <c:pt idx="7">
                  <c:v>1.3434619753511532</c:v>
                </c:pt>
                <c:pt idx="8">
                  <c:v>1.410635074118711</c:v>
                </c:pt>
                <c:pt idx="9">
                  <c:v>1.4811668278246466</c:v>
                </c:pt>
                <c:pt idx="10">
                  <c:v>1.5552251692158789</c:v>
                </c:pt>
                <c:pt idx="11">
                  <c:v>1.6329864276766728</c:v>
                </c:pt>
                <c:pt idx="12">
                  <c:v>1.7146357490605066</c:v>
                </c:pt>
                <c:pt idx="13">
                  <c:v>1.8003675365135317</c:v>
                </c:pt>
                <c:pt idx="14">
                  <c:v>1.8903859133392089</c:v>
                </c:pt>
                <c:pt idx="15">
                  <c:v>1.9849052090061692</c:v>
                </c:pt>
                <c:pt idx="16">
                  <c:v>2.0841504694564779</c:v>
                </c:pt>
                <c:pt idx="17">
                  <c:v>2.1883579929293018</c:v>
                </c:pt>
                <c:pt idx="18">
                  <c:v>2.2977758925757668</c:v>
                </c:pt>
                <c:pt idx="19">
                  <c:v>2.412664687204555</c:v>
                </c:pt>
              </c:numCache>
            </c:numRef>
          </c:val>
          <c:smooth val="0"/>
        </c:ser>
        <c:ser>
          <c:idx val="3"/>
          <c:order val="2"/>
          <c:tx>
            <c:strRef>
              <c:f>'LCOE mix'!$A$13</c:f>
              <c:strCache>
                <c:ptCount val="1"/>
                <c:pt idx="0">
                  <c:v>75/25</c:v>
                </c:pt>
              </c:strCache>
            </c:strRef>
          </c:tx>
          <c:marker>
            <c:symbol val="none"/>
          </c:marker>
          <c:val>
            <c:numRef>
              <c:f>'LCOE mix'!$B$13:$U$13</c:f>
              <c:numCache>
                <c:formatCode>General</c:formatCode>
                <c:ptCount val="20"/>
                <c:pt idx="0">
                  <c:v>0.79554400216322652</c:v>
                </c:pt>
                <c:pt idx="1">
                  <c:v>0.87708726238495727</c:v>
                </c:pt>
                <c:pt idx="2">
                  <c:v>0.92094162550420522</c:v>
                </c:pt>
                <c:pt idx="3">
                  <c:v>0.9669887067794154</c:v>
                </c:pt>
                <c:pt idx="4">
                  <c:v>1.0153381421183862</c:v>
                </c:pt>
                <c:pt idx="5">
                  <c:v>1.0661050492243056</c:v>
                </c:pt>
                <c:pt idx="6">
                  <c:v>1.1194103016855208</c:v>
                </c:pt>
                <c:pt idx="7">
                  <c:v>1.1753808167697968</c:v>
                </c:pt>
                <c:pt idx="8">
                  <c:v>1.2341498576082865</c:v>
                </c:pt>
                <c:pt idx="9">
                  <c:v>1.295857350488701</c:v>
                </c:pt>
                <c:pt idx="10">
                  <c:v>1.3606502180131363</c:v>
                </c:pt>
                <c:pt idx="11">
                  <c:v>1.4286827289137929</c:v>
                </c:pt>
                <c:pt idx="12">
                  <c:v>1.5001168653594827</c:v>
                </c:pt>
                <c:pt idx="13">
                  <c:v>1.5751227086274564</c:v>
                </c:pt>
                <c:pt idx="14">
                  <c:v>1.6538788440588299</c:v>
                </c:pt>
                <c:pt idx="15">
                  <c:v>1.736572786261771</c:v>
                </c:pt>
                <c:pt idx="16">
                  <c:v>1.8234014255748601</c:v>
                </c:pt>
                <c:pt idx="17">
                  <c:v>1.9145714968536029</c:v>
                </c:pt>
                <c:pt idx="18">
                  <c:v>2.0103000716962831</c:v>
                </c:pt>
                <c:pt idx="19">
                  <c:v>2.110815075281097</c:v>
                </c:pt>
              </c:numCache>
            </c:numRef>
          </c:val>
          <c:smooth val="0"/>
        </c:ser>
        <c:ser>
          <c:idx val="2"/>
          <c:order val="3"/>
          <c:tx>
            <c:strRef>
              <c:f>'LCOE mix'!$A$14</c:f>
              <c:strCache>
                <c:ptCount val="1"/>
                <c:pt idx="0">
                  <c:v>90/10</c:v>
                </c:pt>
              </c:strCache>
            </c:strRef>
          </c:tx>
          <c:marker>
            <c:symbol val="none"/>
          </c:marker>
          <c:val>
            <c:numRef>
              <c:f>'LCOE mix'!$B$14:$U$14</c:f>
              <c:numCache>
                <c:formatCode>General</c:formatCode>
                <c:ptCount val="20"/>
                <c:pt idx="0">
                  <c:v>0.727285635677278</c:v>
                </c:pt>
                <c:pt idx="1">
                  <c:v>0.80183241333419908</c:v>
                </c:pt>
                <c:pt idx="2">
                  <c:v>0.84192403400090909</c:v>
                </c:pt>
                <c:pt idx="3">
                  <c:v>0.88402023570095434</c:v>
                </c:pt>
                <c:pt idx="4">
                  <c:v>0.92822124748600232</c:v>
                </c:pt>
                <c:pt idx="5">
                  <c:v>0.97463230986030236</c:v>
                </c:pt>
                <c:pt idx="6">
                  <c:v>1.0233639253533175</c:v>
                </c:pt>
                <c:pt idx="7">
                  <c:v>1.0745321216209833</c:v>
                </c:pt>
                <c:pt idx="8">
                  <c:v>1.1282587277020324</c:v>
                </c:pt>
                <c:pt idx="9">
                  <c:v>1.184671664087134</c:v>
                </c:pt>
                <c:pt idx="10">
                  <c:v>1.2439052472914909</c:v>
                </c:pt>
                <c:pt idx="11">
                  <c:v>1.3061005096560652</c:v>
                </c:pt>
                <c:pt idx="12">
                  <c:v>1.371405535138869</c:v>
                </c:pt>
                <c:pt idx="13">
                  <c:v>1.4399758118958119</c:v>
                </c:pt>
                <c:pt idx="14">
                  <c:v>1.5119746024906031</c:v>
                </c:pt>
                <c:pt idx="15">
                  <c:v>1.5875733326151329</c:v>
                </c:pt>
                <c:pt idx="16">
                  <c:v>1.6669519992458899</c:v>
                </c:pt>
                <c:pt idx="17">
                  <c:v>1.7502995992081845</c:v>
                </c:pt>
                <c:pt idx="18">
                  <c:v>1.8378145791685938</c:v>
                </c:pt>
                <c:pt idx="19">
                  <c:v>1.9297053081270232</c:v>
                </c:pt>
              </c:numCache>
            </c:numRef>
          </c:val>
          <c:smooth val="0"/>
        </c:ser>
        <c:ser>
          <c:idx val="0"/>
          <c:order val="4"/>
          <c:tx>
            <c:strRef>
              <c:f>'LCOE mix'!$A$15</c:f>
              <c:strCache>
                <c:ptCount val="1"/>
                <c:pt idx="0">
                  <c:v>100/0</c:v>
                </c:pt>
              </c:strCache>
            </c:strRef>
          </c:tx>
          <c:marker>
            <c:symbol val="none"/>
          </c:marker>
          <c:val>
            <c:numRef>
              <c:f>'LCOE mix'!$B$11:$T$11</c:f>
              <c:numCache>
                <c:formatCode>General</c:formatCode>
                <c:ptCount val="19"/>
                <c:pt idx="0">
                  <c:v>0.68178005801997887</c:v>
                </c:pt>
                <c:pt idx="1">
                  <c:v>0.75166251396702677</c:v>
                </c:pt>
                <c:pt idx="2">
                  <c:v>0.78924563966537808</c:v>
                </c:pt>
                <c:pt idx="3">
                  <c:v>0.82870792164864682</c:v>
                </c:pt>
                <c:pt idx="4">
                  <c:v>0.87014331773107922</c:v>
                </c:pt>
                <c:pt idx="5">
                  <c:v>0.91365048361763312</c:v>
                </c:pt>
                <c:pt idx="6">
                  <c:v>0.95933300779851494</c:v>
                </c:pt>
                <c:pt idx="7">
                  <c:v>1.0072996581884408</c:v>
                </c:pt>
                <c:pt idx="8">
                  <c:v>1.0576646410978627</c:v>
                </c:pt>
                <c:pt idx="9">
                  <c:v>1.1105478731527558</c:v>
                </c:pt>
                <c:pt idx="10">
                  <c:v>1.1660752668103938</c:v>
                </c:pt>
                <c:pt idx="11">
                  <c:v>1.2243790301509132</c:v>
                </c:pt>
                <c:pt idx="12">
                  <c:v>1.2855979816584591</c:v>
                </c:pt>
                <c:pt idx="13">
                  <c:v>1.3498778807413818</c:v>
                </c:pt>
                <c:pt idx="14">
                  <c:v>1.4173717747784513</c:v>
                </c:pt>
                <c:pt idx="15">
                  <c:v>1.4882403635173738</c:v>
                </c:pt>
                <c:pt idx="16">
                  <c:v>1.5626523816932427</c:v>
                </c:pt>
                <c:pt idx="17">
                  <c:v>1.6407850007779048</c:v>
                </c:pt>
                <c:pt idx="18">
                  <c:v>1.7228242508168001</c:v>
                </c:pt>
              </c:numCache>
            </c:numRef>
          </c:val>
          <c:smooth val="0"/>
        </c:ser>
        <c:dLbls>
          <c:showLegendKey val="0"/>
          <c:showVal val="0"/>
          <c:showCatName val="0"/>
          <c:showSerName val="0"/>
          <c:showPercent val="0"/>
          <c:showBubbleSize val="0"/>
        </c:dLbls>
        <c:marker val="1"/>
        <c:smooth val="0"/>
        <c:axId val="173150976"/>
        <c:axId val="173152896"/>
      </c:lineChart>
      <c:catAx>
        <c:axId val="173150976"/>
        <c:scaling>
          <c:orientation val="minMax"/>
        </c:scaling>
        <c:delete val="0"/>
        <c:axPos val="b"/>
        <c:title>
          <c:tx>
            <c:rich>
              <a:bodyPr/>
              <a:lstStyle/>
              <a:p>
                <a:pPr>
                  <a:defRPr/>
                </a:pPr>
                <a:r>
                  <a:rPr lang="ru-RU"/>
                  <a:t>Р</a:t>
                </a:r>
                <a:r>
                  <a:rPr lang="uk-UA"/>
                  <a:t>ік</a:t>
                </a:r>
                <a:r>
                  <a:rPr lang="uk-UA" baseline="0"/>
                  <a:t> експлуатації</a:t>
                </a:r>
                <a:endParaRPr lang="uk-UA"/>
              </a:p>
            </c:rich>
          </c:tx>
          <c:overlay val="0"/>
        </c:title>
        <c:majorTickMark val="out"/>
        <c:minorTickMark val="none"/>
        <c:tickLblPos val="nextTo"/>
        <c:crossAx val="173152896"/>
        <c:crosses val="autoZero"/>
        <c:auto val="1"/>
        <c:lblAlgn val="ctr"/>
        <c:lblOffset val="100"/>
        <c:noMultiLvlLbl val="0"/>
      </c:catAx>
      <c:valAx>
        <c:axId val="173152896"/>
        <c:scaling>
          <c:orientation val="minMax"/>
        </c:scaling>
        <c:delete val="0"/>
        <c:axPos val="l"/>
        <c:majorGridlines/>
        <c:title>
          <c:tx>
            <c:rich>
              <a:bodyPr rot="-5400000" vert="horz"/>
              <a:lstStyle/>
              <a:p>
                <a:pPr>
                  <a:defRPr sz="1100"/>
                </a:pPr>
                <a:r>
                  <a:rPr lang="ru-RU" sz="1100"/>
                  <a:t>Грн</a:t>
                </a:r>
                <a:r>
                  <a:rPr lang="en-US" sz="1100"/>
                  <a:t>/</a:t>
                </a:r>
                <a:r>
                  <a:rPr lang="ru-RU" sz="1100"/>
                  <a:t>кВт·год</a:t>
                </a:r>
              </a:p>
            </c:rich>
          </c:tx>
          <c:overlay val="0"/>
        </c:title>
        <c:numFmt formatCode="General" sourceLinked="1"/>
        <c:majorTickMark val="out"/>
        <c:minorTickMark val="none"/>
        <c:tickLblPos val="nextTo"/>
        <c:crossAx val="173150976"/>
        <c:crosses val="autoZero"/>
        <c:crossBetween val="between"/>
      </c:valAx>
    </c:plotArea>
    <c:legend>
      <c:legendPos val="r"/>
      <c:layout>
        <c:manualLayout>
          <c:xMode val="edge"/>
          <c:yMode val="edge"/>
          <c:x val="0.82643429173060334"/>
          <c:y val="0.41075993584537285"/>
          <c:w val="0.14118942671914855"/>
          <c:h val="0.48150127148503324"/>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0.79873</cdr:x>
      <cdr:y>0.26013</cdr:y>
    </cdr:from>
    <cdr:to>
      <cdr:x>0.96355</cdr:x>
      <cdr:y>0.48708</cdr:y>
    </cdr:to>
    <cdr:sp macro="" textlink="">
      <cdr:nvSpPr>
        <cdr:cNvPr id="2" name="TextBox 1"/>
        <cdr:cNvSpPr txBox="1"/>
      </cdr:nvSpPr>
      <cdr:spPr>
        <a:xfrm xmlns:a="http://schemas.openxmlformats.org/drawingml/2006/main">
          <a:off x="5348372" y="824734"/>
          <a:ext cx="1103632" cy="71953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b="1"/>
            <a:t>Використання </a:t>
          </a:r>
        </a:p>
        <a:p xmlns:a="http://schemas.openxmlformats.org/drawingml/2006/main">
          <a:r>
            <a:rPr lang="uk-UA" sz="1100" b="1"/>
            <a:t>Синтез-газ/ПГ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5173-4EA1-4329-A72D-138C3FD4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12375</Words>
  <Characters>7055</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migliori.bello</cp:lastModifiedBy>
  <cp:revision>2</cp:revision>
  <cp:lastPrinted>2015-06-15T05:10:00Z</cp:lastPrinted>
  <dcterms:created xsi:type="dcterms:W3CDTF">2016-06-14T06:01:00Z</dcterms:created>
  <dcterms:modified xsi:type="dcterms:W3CDTF">2016-06-14T06:01:00Z</dcterms:modified>
</cp:coreProperties>
</file>